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sz w:val="32"/>
          <w:szCs w:val="32"/>
        </w:rPr>
      </w:pPr>
      <w:bookmarkStart w:id="0" w:name="_Toc445842393"/>
      <w:bookmarkStart w:id="1" w:name="_Toc286853468"/>
      <w:r>
        <w:rPr>
          <w:rFonts w:ascii="方正小标宋简体" w:hAnsi="方正小标宋简体" w:eastAsia="方正小标宋简体" w:cs="方正小标宋简体"/>
          <w:sz w:val="72"/>
          <w:szCs w:val="72"/>
        </w:rPr>
        <w:pict>
          <v:shape id="图片 1" o:spid="_x0000_s2050" o:spt="75" type="#_x0000_t75" style="position:absolute;left:0pt;margin-left:-0.25pt;margin-top:0.25pt;height:76.25pt;width:111.35pt;mso-wrap-distance-left:9pt;mso-wrap-distance-right:9pt;z-index:-251656192;mso-width-relative:page;mso-height-relative:page;" filled="f" o:preferrelative="t" stroked="f" coordsize="21600,21600" wrapcoords="0 0 0 21246 21241 21246 21241 0 0 0">
            <v:path/>
            <v:fill on="f" focussize="0,0"/>
            <v:stroke on="f" joinstyle="miter"/>
            <v:imagedata r:id="rId15" o:title=""/>
            <o:lock v:ext="edit" aspectratio="t"/>
            <w10:wrap type="tight"/>
          </v:shape>
        </w:pict>
      </w:r>
    </w:p>
    <w:p>
      <w:pPr>
        <w:pStyle w:val="6"/>
      </w:pPr>
    </w:p>
    <w:p>
      <w:pPr>
        <w:pStyle w:val="6"/>
      </w:pPr>
    </w:p>
    <w:p>
      <w:pPr>
        <w:spacing w:line="560" w:lineRule="exact"/>
        <w:rPr>
          <w:sz w:val="36"/>
        </w:rPr>
      </w:pPr>
    </w:p>
    <w:p>
      <w:pPr>
        <w:spacing w:line="560" w:lineRule="exact"/>
        <w:rPr>
          <w:b/>
          <w:sz w:val="44"/>
          <w:szCs w:val="44"/>
        </w:rPr>
      </w:pPr>
    </w:p>
    <w:p>
      <w:pPr>
        <w:spacing w:beforeLines="50" w:afterLines="50" w:line="1000" w:lineRule="exact"/>
        <w:jc w:val="center"/>
        <w:outlineLvl w:val="0"/>
        <w:rPr>
          <w:rFonts w:eastAsia="黑体"/>
          <w:b/>
          <w:sz w:val="80"/>
          <w:szCs w:val="80"/>
        </w:rPr>
      </w:pPr>
      <w:r>
        <w:rPr>
          <w:rFonts w:hint="eastAsia" w:eastAsia="黑体"/>
          <w:b/>
          <w:sz w:val="80"/>
          <w:szCs w:val="80"/>
        </w:rPr>
        <w:t>询比采购文件</w:t>
      </w:r>
    </w:p>
    <w:p>
      <w:pPr>
        <w:pStyle w:val="6"/>
        <w:rPr>
          <w:b/>
          <w:sz w:val="32"/>
          <w:szCs w:val="32"/>
        </w:rPr>
      </w:pPr>
    </w:p>
    <w:p>
      <w:pPr>
        <w:pStyle w:val="6"/>
        <w:rPr>
          <w:b/>
          <w:sz w:val="32"/>
          <w:szCs w:val="32"/>
        </w:rPr>
      </w:pPr>
    </w:p>
    <w:p>
      <w:pPr>
        <w:pStyle w:val="6"/>
        <w:rPr>
          <w:b/>
          <w:sz w:val="32"/>
          <w:szCs w:val="32"/>
        </w:rPr>
      </w:pPr>
    </w:p>
    <w:p>
      <w:pPr>
        <w:pStyle w:val="6"/>
        <w:rPr>
          <w:b/>
          <w:sz w:val="32"/>
          <w:szCs w:val="32"/>
        </w:rPr>
      </w:pPr>
    </w:p>
    <w:p>
      <w:pPr>
        <w:spacing w:line="720" w:lineRule="auto"/>
        <w:ind w:firstLine="602" w:firstLineChars="200"/>
        <w:rPr>
          <w:rFonts w:ascii="宋体" w:hAnsi="宋体" w:cs="宋体"/>
          <w:b/>
          <w:color w:val="000000"/>
          <w:sz w:val="30"/>
          <w:szCs w:val="30"/>
        </w:rPr>
      </w:pPr>
      <w:r>
        <w:rPr>
          <w:rFonts w:hint="eastAsia" w:ascii="宋体" w:hAnsi="宋体" w:cs="宋体"/>
          <w:b/>
          <w:color w:val="000000"/>
          <w:sz w:val="30"/>
          <w:szCs w:val="30"/>
        </w:rPr>
        <w:t>项目编号：/</w:t>
      </w:r>
    </w:p>
    <w:p>
      <w:pPr>
        <w:spacing w:line="720" w:lineRule="auto"/>
        <w:ind w:left="2136" w:leftChars="300" w:hanging="1506" w:hangingChars="500"/>
        <w:rPr>
          <w:rFonts w:ascii="宋体" w:hAnsi="宋体" w:cs="宋体"/>
          <w:b/>
          <w:color w:val="000000"/>
          <w:sz w:val="30"/>
          <w:szCs w:val="30"/>
        </w:rPr>
      </w:pPr>
      <w:r>
        <w:rPr>
          <w:rFonts w:hint="eastAsia" w:ascii="宋体" w:hAnsi="宋体" w:cs="宋体"/>
          <w:b/>
          <w:color w:val="000000"/>
          <w:sz w:val="30"/>
          <w:szCs w:val="30"/>
        </w:rPr>
        <w:t>项目名称：中小微企业和社会源危险废物集中收集贮存试点单位设施甲类库建设项目建议书、可研报告咨询服务采购</w:t>
      </w:r>
    </w:p>
    <w:p>
      <w:pPr>
        <w:spacing w:line="720" w:lineRule="auto"/>
        <w:ind w:firstLine="602" w:firstLineChars="200"/>
        <w:rPr>
          <w:rFonts w:ascii="宋体" w:hAnsi="宋体" w:cs="宋体"/>
          <w:b/>
          <w:color w:val="000000"/>
          <w:sz w:val="30"/>
          <w:szCs w:val="30"/>
        </w:rPr>
      </w:pPr>
      <w:r>
        <w:rPr>
          <w:rFonts w:hint="eastAsia" w:ascii="宋体" w:hAnsi="宋体" w:cs="宋体"/>
          <w:b/>
          <w:color w:val="000000"/>
          <w:sz w:val="30"/>
          <w:szCs w:val="30"/>
        </w:rPr>
        <w:t>采购组织人：</w:t>
      </w:r>
      <w:r>
        <w:rPr>
          <w:rFonts w:ascii="宋体" w:hAnsi="宋体" w:cs="宋体"/>
          <w:b/>
          <w:color w:val="000000"/>
          <w:sz w:val="30"/>
          <w:szCs w:val="30"/>
        </w:rPr>
        <w:t>中节能</w:t>
      </w:r>
      <w:r>
        <w:rPr>
          <w:rFonts w:hint="eastAsia" w:ascii="宋体" w:hAnsi="宋体" w:cs="宋体"/>
          <w:b/>
          <w:color w:val="000000"/>
          <w:sz w:val="30"/>
          <w:szCs w:val="30"/>
        </w:rPr>
        <w:t>（攀枝花）</w:t>
      </w:r>
      <w:r>
        <w:rPr>
          <w:rFonts w:ascii="宋体" w:hAnsi="宋体" w:cs="宋体"/>
          <w:b/>
          <w:color w:val="000000"/>
          <w:sz w:val="30"/>
          <w:szCs w:val="30"/>
        </w:rPr>
        <w:t>清洁技术发展有限公司</w:t>
      </w:r>
    </w:p>
    <w:p>
      <w:pPr>
        <w:spacing w:line="720" w:lineRule="auto"/>
        <w:ind w:firstLine="602" w:firstLineChars="200"/>
        <w:rPr>
          <w:rFonts w:ascii="宋体" w:hAnsi="宋体" w:cs="宋体"/>
          <w:b/>
          <w:color w:val="000000"/>
          <w:sz w:val="30"/>
          <w:szCs w:val="30"/>
        </w:rPr>
      </w:pPr>
      <w:r>
        <w:rPr>
          <w:rFonts w:hint="eastAsia" w:ascii="宋体" w:hAnsi="宋体" w:cs="宋体"/>
          <w:b/>
          <w:color w:val="000000"/>
          <w:sz w:val="30"/>
          <w:szCs w:val="30"/>
        </w:rPr>
        <w:t>采购代理机构：/</w:t>
      </w:r>
      <w:r>
        <w:rPr>
          <w:rFonts w:ascii="宋体" w:hAnsi="宋体" w:cs="宋体"/>
          <w:b/>
          <w:color w:val="000000"/>
          <w:sz w:val="30"/>
          <w:szCs w:val="30"/>
        </w:rPr>
        <w:t xml:space="preserve"> </w:t>
      </w:r>
    </w:p>
    <w:p>
      <w:pPr>
        <w:jc w:val="center"/>
        <w:rPr>
          <w:rFonts w:ascii="宋体" w:hAnsi="宋体" w:cs="宋体"/>
          <w:b/>
          <w:color w:val="000000"/>
          <w:sz w:val="30"/>
          <w:szCs w:val="30"/>
          <w:u w:val="single"/>
        </w:rPr>
      </w:pPr>
    </w:p>
    <w:p>
      <w:pPr>
        <w:spacing w:line="560" w:lineRule="exact"/>
        <w:jc w:val="center"/>
        <w:outlineLvl w:val="0"/>
        <w:rPr>
          <w:b/>
          <w:sz w:val="30"/>
          <w:szCs w:val="30"/>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417" w:left="1417" w:header="992" w:footer="992" w:gutter="0"/>
          <w:pgNumType w:start="0"/>
          <w:cols w:space="720" w:num="1"/>
          <w:titlePg/>
          <w:docGrid w:type="lines" w:linePitch="318" w:charSpace="0"/>
        </w:sectPr>
      </w:pPr>
      <w:r>
        <w:rPr>
          <w:rFonts w:ascii="宋体" w:hAnsi="宋体" w:cs="宋体"/>
          <w:b/>
          <w:color w:val="000000"/>
          <w:sz w:val="30"/>
          <w:szCs w:val="30"/>
        </w:rPr>
        <w:t>202</w:t>
      </w:r>
      <w:r>
        <w:rPr>
          <w:rFonts w:hint="eastAsia" w:ascii="宋体" w:hAnsi="宋体" w:cs="宋体"/>
          <w:b/>
          <w:color w:val="000000"/>
          <w:sz w:val="30"/>
          <w:szCs w:val="30"/>
        </w:rPr>
        <w:t>2</w:t>
      </w:r>
      <w:r>
        <w:rPr>
          <w:rFonts w:ascii="宋体" w:hAnsi="宋体" w:cs="宋体"/>
          <w:b/>
          <w:color w:val="000000"/>
          <w:sz w:val="30"/>
          <w:szCs w:val="30"/>
        </w:rPr>
        <w:t>年</w:t>
      </w:r>
      <w:r>
        <w:rPr>
          <w:rFonts w:hint="eastAsia" w:ascii="宋体" w:hAnsi="宋体" w:cs="宋体"/>
          <w:b/>
          <w:color w:val="000000"/>
          <w:sz w:val="30"/>
          <w:szCs w:val="30"/>
          <w:lang w:val="en-US" w:eastAsia="zh-CN"/>
        </w:rPr>
        <w:t>7</w:t>
      </w:r>
      <w:r>
        <w:rPr>
          <w:rFonts w:ascii="宋体" w:hAnsi="宋体" w:cs="宋体"/>
          <w:b/>
          <w:color w:val="000000"/>
          <w:sz w:val="30"/>
          <w:szCs w:val="30"/>
        </w:rPr>
        <w:t>月</w:t>
      </w:r>
      <w:r>
        <w:rPr>
          <w:rFonts w:hint="eastAsia" w:ascii="宋体" w:hAnsi="宋体" w:cs="宋体"/>
          <w:b/>
          <w:color w:val="000000"/>
          <w:sz w:val="30"/>
          <w:szCs w:val="30"/>
          <w:lang w:val="en-US" w:eastAsia="zh-CN"/>
        </w:rPr>
        <w:t>7</w:t>
      </w:r>
      <w:r>
        <w:rPr>
          <w:rFonts w:hint="eastAsia" w:ascii="宋体" w:hAnsi="宋体" w:cs="宋体"/>
          <w:b/>
          <w:color w:val="000000"/>
          <w:sz w:val="30"/>
          <w:szCs w:val="30"/>
        </w:rPr>
        <w:t>日</w:t>
      </w:r>
    </w:p>
    <w:p>
      <w:pPr>
        <w:jc w:val="center"/>
        <w:outlineLvl w:val="1"/>
        <w:rPr>
          <w:rFonts w:eastAsia="黑体"/>
          <w:b/>
          <w:kern w:val="44"/>
          <w:sz w:val="28"/>
          <w:szCs w:val="28"/>
        </w:rPr>
      </w:pPr>
      <w:bookmarkStart w:id="2" w:name="_Toc11962"/>
      <w:bookmarkStart w:id="3" w:name="_Toc1575"/>
      <w:bookmarkStart w:id="4" w:name="_Toc7483"/>
      <w:bookmarkStart w:id="5" w:name="_Toc496702827"/>
      <w:bookmarkStart w:id="6" w:name="_Toc496702869"/>
      <w:bookmarkStart w:id="7" w:name="_Toc493776323"/>
      <w:r>
        <w:rPr>
          <w:rFonts w:eastAsia="黑体"/>
          <w:b/>
          <w:kern w:val="44"/>
          <w:sz w:val="28"/>
          <w:szCs w:val="28"/>
        </w:rPr>
        <w:t>目  录</w:t>
      </w:r>
      <w:bookmarkEnd w:id="2"/>
      <w:bookmarkEnd w:id="3"/>
      <w:bookmarkEnd w:id="4"/>
    </w:p>
    <w:p>
      <w:pPr>
        <w:pStyle w:val="22"/>
        <w:tabs>
          <w:tab w:val="right" w:leader="dot" w:pos="9354"/>
        </w:tabs>
      </w:pPr>
      <w:r>
        <w:rPr>
          <w:rFonts w:hint="eastAsia" w:ascii="宋体" w:hAnsi="宋体" w:cs="宋体"/>
          <w:szCs w:val="21"/>
        </w:rPr>
        <w:fldChar w:fldCharType="begin"/>
      </w:r>
      <w:r>
        <w:rPr>
          <w:rFonts w:hint="eastAsia" w:ascii="宋体" w:hAnsi="宋体" w:cs="宋体"/>
          <w:szCs w:val="21"/>
        </w:rPr>
        <w:instrText xml:space="preserve"> TOC \o "1-3" \h \z \u </w:instrText>
      </w:r>
      <w:r>
        <w:rPr>
          <w:rFonts w:hint="eastAsia" w:ascii="宋体" w:hAnsi="宋体" w:cs="宋体"/>
          <w:szCs w:val="21"/>
        </w:rPr>
        <w:fldChar w:fldCharType="separate"/>
      </w:r>
    </w:p>
    <w:p>
      <w:pPr>
        <w:pStyle w:val="22"/>
        <w:tabs>
          <w:tab w:val="right" w:leader="dot" w:pos="9354"/>
        </w:tabs>
        <w:rPr>
          <w:rFonts w:ascii="宋体" w:hAnsi="宋体" w:cs="宋体"/>
        </w:rPr>
      </w:pPr>
      <w:r>
        <w:fldChar w:fldCharType="begin"/>
      </w:r>
      <w:r>
        <w:instrText xml:space="preserve"> HYPERLINK \l "_Toc29423" </w:instrText>
      </w:r>
      <w:r>
        <w:fldChar w:fldCharType="separate"/>
      </w:r>
      <w:r>
        <w:rPr>
          <w:rFonts w:hint="eastAsia" w:ascii="宋体" w:hAnsi="宋体" w:cs="宋体"/>
          <w:szCs w:val="28"/>
        </w:rPr>
        <w:t>第一章 询比采购公告</w:t>
      </w:r>
      <w:r>
        <w:rPr>
          <w:rFonts w:hint="eastAsia" w:ascii="宋体" w:hAnsi="宋体" w:cs="宋体"/>
        </w:rPr>
        <w:tab/>
      </w:r>
      <w:r>
        <w:rPr>
          <w:rFonts w:hint="eastAsia" w:ascii="宋体" w:hAnsi="宋体" w:cs="宋体"/>
        </w:rPr>
        <w:t>1</w:t>
      </w:r>
      <w:r>
        <w:rPr>
          <w:rFonts w:hint="eastAsia" w:ascii="宋体" w:hAnsi="宋体" w:cs="宋体"/>
        </w:rPr>
        <w:fldChar w:fldCharType="end"/>
      </w:r>
    </w:p>
    <w:p>
      <w:pPr>
        <w:pStyle w:val="22"/>
        <w:tabs>
          <w:tab w:val="right" w:leader="dot" w:pos="9354"/>
        </w:tabs>
        <w:rPr>
          <w:rFonts w:ascii="宋体" w:hAnsi="宋体" w:cs="宋体"/>
        </w:rPr>
      </w:pPr>
      <w:r>
        <w:fldChar w:fldCharType="begin"/>
      </w:r>
      <w:r>
        <w:instrText xml:space="preserve"> HYPERLINK \l "_Toc17074" </w:instrText>
      </w:r>
      <w:r>
        <w:fldChar w:fldCharType="separate"/>
      </w:r>
      <w:r>
        <w:rPr>
          <w:rFonts w:hint="eastAsia" w:ascii="宋体" w:hAnsi="宋体" w:cs="宋体"/>
          <w:szCs w:val="28"/>
        </w:rPr>
        <w:t>第二章 服务商须知</w:t>
      </w:r>
      <w:r>
        <w:rPr>
          <w:rFonts w:hint="eastAsia" w:ascii="宋体" w:hAnsi="宋体" w:cs="宋体"/>
        </w:rPr>
        <w:tab/>
      </w:r>
      <w:r>
        <w:rPr>
          <w:rFonts w:hint="eastAsia" w:ascii="宋体" w:hAnsi="宋体" w:cs="宋体"/>
        </w:rPr>
        <w:t>4</w:t>
      </w:r>
      <w:r>
        <w:rPr>
          <w:rFonts w:hint="eastAsia" w:ascii="宋体" w:hAnsi="宋体" w:cs="宋体"/>
        </w:rPr>
        <w:fldChar w:fldCharType="end"/>
      </w:r>
    </w:p>
    <w:p>
      <w:pPr>
        <w:pStyle w:val="22"/>
        <w:tabs>
          <w:tab w:val="right" w:leader="dot" w:pos="9354"/>
        </w:tabs>
        <w:rPr>
          <w:rFonts w:ascii="宋体" w:hAnsi="宋体" w:cs="宋体"/>
        </w:rPr>
      </w:pPr>
      <w:r>
        <w:fldChar w:fldCharType="begin"/>
      </w:r>
      <w:r>
        <w:instrText xml:space="preserve"> HYPERLINK \l "_Toc28607" </w:instrText>
      </w:r>
      <w:r>
        <w:fldChar w:fldCharType="separate"/>
      </w:r>
      <w:r>
        <w:rPr>
          <w:rFonts w:hint="eastAsia" w:ascii="宋体" w:hAnsi="宋体" w:cs="宋体"/>
          <w:szCs w:val="28"/>
          <w:lang w:val="zh-CN"/>
        </w:rPr>
        <w:t>第三章 评审办法</w:t>
      </w:r>
      <w:r>
        <w:rPr>
          <w:rFonts w:hint="eastAsia" w:ascii="宋体" w:hAnsi="宋体" w:cs="宋体"/>
        </w:rPr>
        <w:tab/>
      </w:r>
      <w:r>
        <w:rPr>
          <w:rFonts w:hint="eastAsia" w:ascii="宋体" w:hAnsi="宋体" w:cs="宋体"/>
        </w:rPr>
        <w:fldChar w:fldCharType="end"/>
      </w:r>
      <w:r>
        <w:rPr>
          <w:rFonts w:hint="eastAsia" w:ascii="宋体" w:hAnsi="宋体" w:cs="宋体"/>
        </w:rPr>
        <w:t>17</w:t>
      </w:r>
    </w:p>
    <w:p>
      <w:pPr>
        <w:pStyle w:val="22"/>
        <w:tabs>
          <w:tab w:val="right" w:leader="dot" w:pos="9354"/>
        </w:tabs>
        <w:rPr>
          <w:rFonts w:ascii="宋体" w:hAnsi="宋体" w:cs="宋体"/>
        </w:rPr>
      </w:pPr>
      <w:r>
        <w:fldChar w:fldCharType="begin"/>
      </w:r>
      <w:r>
        <w:instrText xml:space="preserve"> HYPERLINK \l "_Toc32673" </w:instrText>
      </w:r>
      <w:r>
        <w:fldChar w:fldCharType="separate"/>
      </w:r>
      <w:r>
        <w:rPr>
          <w:rFonts w:hint="eastAsia" w:ascii="宋体" w:hAnsi="宋体" w:cs="宋体"/>
          <w:szCs w:val="28"/>
        </w:rPr>
        <w:t>第四章 服务商服务要求</w:t>
      </w:r>
      <w:r>
        <w:rPr>
          <w:rFonts w:hint="eastAsia" w:ascii="宋体" w:hAnsi="宋体" w:cs="宋体"/>
        </w:rPr>
        <w:tab/>
      </w:r>
      <w:r>
        <w:rPr>
          <w:rFonts w:hint="eastAsia" w:ascii="宋体" w:hAnsi="宋体" w:cs="宋体"/>
        </w:rPr>
        <w:t>21</w:t>
      </w:r>
      <w:r>
        <w:rPr>
          <w:rFonts w:hint="eastAsia" w:ascii="宋体" w:hAnsi="宋体" w:cs="宋体"/>
        </w:rPr>
        <w:fldChar w:fldCharType="end"/>
      </w:r>
    </w:p>
    <w:p>
      <w:pPr>
        <w:pStyle w:val="22"/>
        <w:tabs>
          <w:tab w:val="right" w:leader="dot" w:pos="9354"/>
        </w:tabs>
        <w:rPr>
          <w:rFonts w:ascii="宋体" w:hAnsi="宋体" w:cs="宋体"/>
        </w:rPr>
      </w:pPr>
      <w:r>
        <w:fldChar w:fldCharType="begin"/>
      </w:r>
      <w:r>
        <w:instrText xml:space="preserve"> HYPERLINK \l "_Toc22939" </w:instrText>
      </w:r>
      <w:r>
        <w:fldChar w:fldCharType="separate"/>
      </w:r>
      <w:r>
        <w:rPr>
          <w:rFonts w:hint="eastAsia" w:ascii="宋体" w:hAnsi="宋体" w:cs="宋体"/>
          <w:szCs w:val="28"/>
        </w:rPr>
        <w:t>第五章 合同条款与格式</w:t>
      </w:r>
      <w:r>
        <w:rPr>
          <w:rFonts w:hint="eastAsia" w:ascii="宋体" w:hAnsi="宋体" w:cs="宋体"/>
        </w:rPr>
        <w:tab/>
      </w:r>
      <w:r>
        <w:rPr>
          <w:rFonts w:hint="eastAsia" w:ascii="宋体" w:hAnsi="宋体" w:cs="宋体"/>
        </w:rPr>
        <w:t>22</w:t>
      </w:r>
      <w:r>
        <w:rPr>
          <w:rFonts w:hint="eastAsia" w:ascii="宋体" w:hAnsi="宋体" w:cs="宋体"/>
        </w:rPr>
        <w:fldChar w:fldCharType="end"/>
      </w:r>
    </w:p>
    <w:p>
      <w:pPr>
        <w:pStyle w:val="22"/>
        <w:tabs>
          <w:tab w:val="right" w:leader="dot" w:pos="9354"/>
        </w:tabs>
        <w:rPr>
          <w:rFonts w:ascii="宋体" w:hAnsi="宋体" w:cs="宋体"/>
        </w:rPr>
      </w:pPr>
      <w:r>
        <w:fldChar w:fldCharType="begin"/>
      </w:r>
      <w:r>
        <w:instrText xml:space="preserve"> HYPERLINK \l "_Toc18913" </w:instrText>
      </w:r>
      <w:r>
        <w:fldChar w:fldCharType="separate"/>
      </w:r>
      <w:r>
        <w:rPr>
          <w:rFonts w:hint="eastAsia" w:ascii="宋体" w:hAnsi="宋体" w:cs="宋体"/>
          <w:szCs w:val="28"/>
        </w:rPr>
        <w:t>第六章 响应文件格式</w:t>
      </w:r>
      <w:r>
        <w:rPr>
          <w:rFonts w:hint="eastAsia" w:ascii="宋体" w:hAnsi="宋体" w:cs="宋体"/>
        </w:rPr>
        <w:tab/>
      </w:r>
      <w:r>
        <w:rPr>
          <w:rFonts w:hint="eastAsia" w:ascii="宋体" w:hAnsi="宋体" w:cs="宋体"/>
        </w:rPr>
        <w:t>26</w:t>
      </w:r>
      <w:r>
        <w:rPr>
          <w:rFonts w:hint="eastAsia" w:ascii="宋体" w:hAnsi="宋体" w:cs="宋体"/>
        </w:rPr>
        <w:fldChar w:fldCharType="end"/>
      </w:r>
    </w:p>
    <w:p>
      <w:pPr>
        <w:spacing w:line="360" w:lineRule="auto"/>
        <w:rPr>
          <w:szCs w:val="21"/>
        </w:rPr>
      </w:pPr>
      <w:r>
        <w:rPr>
          <w:rFonts w:hint="eastAsia" w:ascii="宋体" w:hAnsi="宋体" w:cs="宋体"/>
          <w:szCs w:val="21"/>
        </w:rPr>
        <w:fldChar w:fldCharType="end"/>
      </w:r>
    </w:p>
    <w:p>
      <w:pPr>
        <w:spacing w:line="360" w:lineRule="auto"/>
        <w:rPr>
          <w:szCs w:val="21"/>
        </w:rPr>
      </w:pPr>
    </w:p>
    <w:p/>
    <w:p/>
    <w:p/>
    <w:p/>
    <w:p/>
    <w:p/>
    <w:p/>
    <w:p/>
    <w:p/>
    <w:p/>
    <w:p/>
    <w:p>
      <w:pPr>
        <w:pStyle w:val="6"/>
      </w:pPr>
    </w:p>
    <w:p>
      <w:pPr>
        <w:pStyle w:val="6"/>
      </w:pPr>
    </w:p>
    <w:p>
      <w:pPr>
        <w:pStyle w:val="6"/>
      </w:pPr>
    </w:p>
    <w:p>
      <w:pPr>
        <w:pStyle w:val="6"/>
      </w:pPr>
    </w:p>
    <w:p/>
    <w:bookmarkEnd w:id="0"/>
    <w:bookmarkEnd w:id="1"/>
    <w:bookmarkEnd w:id="5"/>
    <w:bookmarkEnd w:id="6"/>
    <w:bookmarkEnd w:id="7"/>
    <w:p>
      <w:pPr>
        <w:pStyle w:val="4"/>
        <w:rPr>
          <w:rFonts w:ascii="Times New Roman" w:eastAsia="黑体"/>
          <w:sz w:val="28"/>
          <w:szCs w:val="28"/>
        </w:rPr>
        <w:sectPr>
          <w:headerReference r:id="rId9" w:type="default"/>
          <w:footerReference r:id="rId10" w:type="default"/>
          <w:pgSz w:w="11905" w:h="16838"/>
          <w:pgMar w:top="1417" w:right="1417" w:bottom="1417" w:left="1417" w:header="992" w:footer="992" w:gutter="0"/>
          <w:pgNumType w:start="1"/>
          <w:cols w:space="720" w:num="1"/>
          <w:docGrid w:type="lines" w:linePitch="318" w:charSpace="0"/>
        </w:sectPr>
      </w:pPr>
      <w:bookmarkStart w:id="8" w:name="_Toc496800136"/>
      <w:bookmarkStart w:id="9" w:name="_Toc496800215"/>
      <w:bookmarkStart w:id="10" w:name="_Toc496797509"/>
      <w:bookmarkStart w:id="11" w:name="_Toc496800166"/>
      <w:bookmarkStart w:id="12" w:name="_Toc496797469"/>
      <w:bookmarkStart w:id="13" w:name="_Toc496818584"/>
      <w:bookmarkStart w:id="14" w:name="_Toc493776324"/>
      <w:bookmarkStart w:id="15" w:name="_Toc496702828"/>
      <w:bookmarkStart w:id="16" w:name="_Toc496702870"/>
      <w:bookmarkStart w:id="17" w:name="_Toc496797470"/>
      <w:bookmarkStart w:id="18" w:name="_Toc496800169"/>
      <w:bookmarkStart w:id="19" w:name="_Toc496800219"/>
      <w:bookmarkStart w:id="20" w:name="_Toc496818586"/>
      <w:bookmarkStart w:id="21" w:name="_Toc496797510"/>
      <w:bookmarkStart w:id="22" w:name="_Toc496800139"/>
    </w:p>
    <w:p>
      <w:pPr>
        <w:pStyle w:val="4"/>
        <w:jc w:val="center"/>
        <w:rPr>
          <w:rFonts w:ascii="Times New Roman" w:eastAsia="黑体"/>
          <w:sz w:val="28"/>
          <w:szCs w:val="28"/>
        </w:rPr>
      </w:pPr>
      <w:bookmarkStart w:id="23" w:name="_Toc29423"/>
      <w:r>
        <w:rPr>
          <w:rFonts w:ascii="Times New Roman" w:eastAsia="黑体"/>
          <w:sz w:val="28"/>
          <w:szCs w:val="28"/>
        </w:rPr>
        <w:t xml:space="preserve">第一章 </w:t>
      </w:r>
      <w:bookmarkEnd w:id="8"/>
      <w:bookmarkEnd w:id="9"/>
      <w:bookmarkEnd w:id="10"/>
      <w:bookmarkEnd w:id="11"/>
      <w:bookmarkEnd w:id="12"/>
      <w:bookmarkEnd w:id="13"/>
      <w:bookmarkEnd w:id="23"/>
      <w:r>
        <w:rPr>
          <w:rFonts w:hint="eastAsia" w:ascii="Times New Roman" w:eastAsia="黑体"/>
          <w:sz w:val="28"/>
          <w:szCs w:val="28"/>
        </w:rPr>
        <w:t>询比采购公告</w:t>
      </w:r>
    </w:p>
    <w:p>
      <w:pPr>
        <w:spacing w:line="360" w:lineRule="auto"/>
        <w:jc w:val="center"/>
        <w:outlineLvl w:val="1"/>
        <w:rPr>
          <w:rFonts w:ascii="宋体" w:hAnsi="宋体" w:cs="宋体"/>
          <w:b/>
          <w:sz w:val="24"/>
          <w:szCs w:val="24"/>
        </w:rPr>
      </w:pPr>
      <w:bookmarkStart w:id="657" w:name="_GoBack"/>
      <w:r>
        <w:rPr>
          <w:rFonts w:hint="eastAsia" w:ascii="宋体" w:hAnsi="宋体" w:cs="宋体"/>
          <w:b/>
          <w:color w:val="000000"/>
          <w:sz w:val="30"/>
          <w:szCs w:val="30"/>
        </w:rPr>
        <w:t>中小微企业和社会源危险废物集中收集贮存试点单位设施甲类库建设项目建议书、可研报告咨询服务采购询比公告</w:t>
      </w:r>
    </w:p>
    <w:p>
      <w:pPr>
        <w:pStyle w:val="6"/>
        <w:ind w:firstLine="420" w:firstLineChars="200"/>
        <w:rPr>
          <w:rFonts w:ascii="宋体" w:hAnsi="宋体" w:cs="宋体"/>
          <w:sz w:val="21"/>
          <w:szCs w:val="21"/>
        </w:rPr>
      </w:pPr>
      <w:bookmarkStart w:id="24" w:name="_Toc496800217"/>
      <w:bookmarkStart w:id="25" w:name="_Toc496800137"/>
      <w:bookmarkStart w:id="26" w:name="_Toc496800167"/>
    </w:p>
    <w:p>
      <w:pPr>
        <w:spacing w:line="360" w:lineRule="auto"/>
        <w:ind w:firstLine="420" w:firstLineChars="200"/>
        <w:rPr>
          <w:rFonts w:ascii="宋体" w:hAnsi="宋体" w:cs="宋体"/>
        </w:rPr>
      </w:pPr>
      <w:r>
        <w:rPr>
          <w:rFonts w:hint="eastAsia" w:ascii="宋体" w:hAnsi="宋体" w:cs="宋体"/>
        </w:rPr>
        <w:t>中节能（攀枝花）清洁技术发展有限公司根据采购工作安排，就下述项目组织询比采购，现诚邀符合资格要求的潜在服务商参加本项目的采购询比。</w:t>
      </w:r>
    </w:p>
    <w:p>
      <w:pPr>
        <w:spacing w:line="360" w:lineRule="auto"/>
        <w:ind w:firstLine="420" w:firstLineChars="200"/>
        <w:rPr>
          <w:rFonts w:ascii="宋体" w:hAnsi="宋体" w:cs="宋体"/>
          <w:b/>
          <w:color w:val="000000"/>
          <w:sz w:val="30"/>
          <w:szCs w:val="30"/>
        </w:rPr>
      </w:pPr>
      <w:r>
        <w:rPr>
          <w:rFonts w:hint="eastAsia" w:ascii="宋体" w:hAnsi="宋体" w:cs="宋体"/>
        </w:rPr>
        <w:t>一、项目名称：</w:t>
      </w:r>
      <w:r>
        <w:rPr>
          <w:rFonts w:hint="eastAsia" w:ascii="宋体" w:hAnsi="宋体" w:cs="宋体"/>
          <w:b/>
        </w:rPr>
        <w:t>中小微企业和社会源危险废物集中收集贮存试点单位设施甲类库建设项目建议书、可研报告咨询服务采购</w:t>
      </w:r>
    </w:p>
    <w:p>
      <w:pPr>
        <w:spacing w:line="360" w:lineRule="auto"/>
        <w:ind w:firstLine="420" w:firstLineChars="200"/>
        <w:rPr>
          <w:rFonts w:ascii="宋体" w:hAnsi="宋体" w:cs="宋体"/>
        </w:rPr>
      </w:pPr>
      <w:r>
        <w:rPr>
          <w:rFonts w:hint="eastAsia" w:ascii="宋体" w:hAnsi="宋体" w:cs="宋体"/>
        </w:rPr>
        <w:t>二、项目编号：/</w:t>
      </w:r>
    </w:p>
    <w:p>
      <w:pPr>
        <w:spacing w:line="360" w:lineRule="auto"/>
        <w:ind w:firstLine="420" w:firstLineChars="200"/>
        <w:rPr>
          <w:rFonts w:ascii="宋体" w:hAnsi="宋体" w:cs="宋体"/>
        </w:rPr>
      </w:pPr>
      <w:r>
        <w:rPr>
          <w:rFonts w:hint="eastAsia" w:ascii="宋体" w:hAnsi="宋体" w:cs="宋体"/>
        </w:rPr>
        <w:t>三、采购方式：询比采购</w:t>
      </w:r>
    </w:p>
    <w:p>
      <w:pPr>
        <w:spacing w:line="360" w:lineRule="auto"/>
        <w:ind w:firstLine="420" w:firstLineChars="200"/>
        <w:rPr>
          <w:rFonts w:ascii="宋体" w:hAnsi="宋体" w:cs="宋体"/>
        </w:rPr>
      </w:pPr>
      <w:r>
        <w:rPr>
          <w:rFonts w:hint="eastAsia" w:ascii="宋体" w:hAnsi="宋体" w:cs="宋体"/>
        </w:rPr>
        <w:t>四、采购人（采购组织人）：中节能（攀枝花）清洁技术发展有限公司</w:t>
      </w:r>
    </w:p>
    <w:p>
      <w:pPr>
        <w:spacing w:line="360" w:lineRule="auto"/>
        <w:ind w:firstLine="420" w:firstLineChars="200"/>
        <w:rPr>
          <w:rFonts w:ascii="宋体" w:hAnsi="宋体" w:cs="宋体"/>
        </w:rPr>
      </w:pPr>
      <w:r>
        <w:rPr>
          <w:rFonts w:hint="eastAsia" w:ascii="宋体" w:hAnsi="宋体" w:cs="宋体"/>
        </w:rPr>
        <w:t>五、项目概况：</w:t>
      </w:r>
    </w:p>
    <w:p>
      <w:pPr>
        <w:spacing w:line="360" w:lineRule="auto"/>
        <w:ind w:firstLine="420" w:firstLineChars="200"/>
        <w:rPr>
          <w:rFonts w:ascii="宋体" w:hAnsi="宋体" w:cs="宋体"/>
        </w:rPr>
      </w:pPr>
      <w:r>
        <w:rPr>
          <w:rFonts w:hint="eastAsia" w:ascii="宋体" w:hAnsi="宋体" w:cs="宋体"/>
        </w:rPr>
        <w:t>（一）资金来源：自筹</w:t>
      </w:r>
    </w:p>
    <w:p>
      <w:pPr>
        <w:spacing w:line="360" w:lineRule="auto"/>
        <w:ind w:firstLine="420" w:firstLineChars="200"/>
        <w:rPr>
          <w:rFonts w:ascii="宋体" w:hAnsi="宋体" w:cs="宋体"/>
        </w:rPr>
      </w:pPr>
      <w:r>
        <w:rPr>
          <w:rFonts w:hint="eastAsia" w:ascii="宋体" w:hAnsi="宋体" w:cs="宋体"/>
        </w:rPr>
        <w:t>（二）项目建设规模：</w:t>
      </w:r>
      <w:r>
        <w:rPr>
          <w:rFonts w:ascii="宋体" w:hAnsi="宋体" w:cs="宋体"/>
        </w:rPr>
        <w:t>项目危废废物甲类暂存库占地面积</w:t>
      </w:r>
      <w:r>
        <w:rPr>
          <w:rFonts w:hint="eastAsia" w:ascii="宋体" w:hAnsi="宋体" w:cs="宋体"/>
        </w:rPr>
        <w:t>333.46</w:t>
      </w:r>
      <w:r>
        <w:rPr>
          <w:rFonts w:ascii="宋体" w:hAnsi="宋体" w:cs="宋体"/>
        </w:rPr>
        <w:t>㎡，最大贮存量</w:t>
      </w:r>
      <w:r>
        <w:rPr>
          <w:rFonts w:hint="eastAsia" w:ascii="宋体" w:hAnsi="宋体" w:cs="宋体"/>
        </w:rPr>
        <w:t>550吨。</w:t>
      </w:r>
    </w:p>
    <w:p>
      <w:pPr>
        <w:spacing w:line="360" w:lineRule="auto"/>
        <w:ind w:firstLine="420" w:firstLineChars="200"/>
        <w:rPr>
          <w:rFonts w:hint="eastAsia" w:ascii="宋体" w:hAnsi="宋体" w:cs="宋体"/>
        </w:rPr>
      </w:pPr>
      <w:r>
        <w:rPr>
          <w:rFonts w:hint="eastAsia" w:ascii="宋体" w:hAnsi="宋体" w:cs="宋体"/>
        </w:rPr>
        <w:t>六、采购内容：</w:t>
      </w:r>
    </w:p>
    <w:p>
      <w:pPr>
        <w:spacing w:line="360" w:lineRule="auto"/>
        <w:ind w:firstLine="420" w:firstLineChars="200"/>
        <w:rPr>
          <w:rFonts w:ascii="宋体" w:hAnsi="宋体" w:cs="宋体"/>
        </w:rPr>
      </w:pPr>
      <w:r>
        <w:rPr>
          <w:rFonts w:hint="eastAsia" w:ascii="宋体" w:hAnsi="宋体" w:cs="宋体"/>
        </w:rPr>
        <w:t>1、完成中小微企业和社会源危险废物集中收集贮存试点单位设施甲类库建设项目的项目建议书及可行性研究报告成果报告编制服务。</w:t>
      </w:r>
    </w:p>
    <w:p>
      <w:pPr>
        <w:spacing w:line="360" w:lineRule="auto"/>
        <w:ind w:firstLine="420" w:firstLineChars="200"/>
        <w:rPr>
          <w:rFonts w:hint="eastAsia" w:ascii="宋体" w:hAnsi="宋体" w:cs="宋体"/>
        </w:rPr>
      </w:pPr>
      <w:r>
        <w:rPr>
          <w:rFonts w:hint="eastAsia" w:ascii="宋体" w:hAnsi="宋体" w:cs="宋体"/>
        </w:rPr>
        <w:t>七、服务要求：</w:t>
      </w:r>
    </w:p>
    <w:p>
      <w:pPr>
        <w:spacing w:line="360" w:lineRule="auto"/>
        <w:ind w:firstLine="420" w:firstLineChars="200"/>
        <w:rPr>
          <w:rFonts w:ascii="宋体" w:hAnsi="宋体" w:cs="宋体"/>
        </w:rPr>
      </w:pPr>
      <w:r>
        <w:rPr>
          <w:rFonts w:hint="eastAsia" w:ascii="宋体" w:hAnsi="宋体" w:cs="宋体"/>
        </w:rPr>
        <w:t>1、项目建议书：对拟建项目提出框架性的总体设想，论证</w:t>
      </w:r>
      <w:r>
        <w:rPr>
          <w:rFonts w:hint="eastAsia" w:ascii="宋体" w:hAnsi="宋体" w:cs="宋体"/>
          <w:color w:val="0070C0"/>
        </w:rPr>
        <w:t>项目建设必要性、建设规模、建设方案和环境安全影响分析、劳动安全及工业卫生分析以及投资估算</w:t>
      </w:r>
      <w:r>
        <w:rPr>
          <w:rFonts w:hint="eastAsia" w:ascii="宋体" w:hAnsi="宋体" w:cs="宋体"/>
        </w:rPr>
        <w:t>；</w:t>
      </w:r>
    </w:p>
    <w:p>
      <w:pPr>
        <w:pStyle w:val="29"/>
        <w:rPr>
          <w:rFonts w:ascii="宋体" w:hAnsi="宋体" w:cs="宋体"/>
          <w:color w:val="0070C0"/>
          <w:sz w:val="21"/>
        </w:rPr>
      </w:pPr>
      <w:r>
        <w:rPr>
          <w:rFonts w:hint="eastAsia" w:ascii="宋体" w:hAnsi="宋体" w:cs="宋体"/>
          <w:b w:val="0"/>
          <w:bCs/>
          <w:sz w:val="21"/>
        </w:rPr>
        <w:t>2、项目可行性研究报告：</w:t>
      </w:r>
      <w:r>
        <w:rPr>
          <w:rFonts w:hint="eastAsia" w:ascii="宋体" w:hAnsi="宋体" w:cs="宋体"/>
          <w:b w:val="0"/>
          <w:bCs/>
          <w:color w:val="0070C0"/>
          <w:sz w:val="21"/>
        </w:rPr>
        <w:t>对拟建项目进行全面经济分析的科学论证，分析比较预测建成后的社会经济效益，内容包括：项目概述、编制依据、废物性质及收集对象、建设规模、场址选择、危险废物收集与运输、工艺方案、总图与运输、公用工程及辅助设施、火灾与消防、环境保护、劳动安全与卫生、节能、风险、工程进度计划与招投标初步安排、劳动定员与人员培训及投资估算等。</w:t>
      </w:r>
    </w:p>
    <w:p>
      <w:pPr>
        <w:spacing w:line="360" w:lineRule="auto"/>
        <w:ind w:firstLine="420" w:firstLineChars="200"/>
        <w:rPr>
          <w:rFonts w:hint="eastAsia" w:ascii="宋体" w:hAnsi="宋体" w:cs="宋体"/>
        </w:rPr>
      </w:pPr>
      <w:r>
        <w:rPr>
          <w:rFonts w:hint="eastAsia" w:ascii="宋体" w:hAnsi="宋体" w:cs="宋体"/>
        </w:rPr>
        <w:t>八、采购服务（工期）要求：</w:t>
      </w:r>
    </w:p>
    <w:p>
      <w:pPr>
        <w:spacing w:line="360" w:lineRule="auto"/>
        <w:ind w:firstLine="420" w:firstLineChars="200"/>
        <w:rPr>
          <w:rFonts w:ascii="宋体" w:hAnsi="宋体" w:cs="宋体"/>
          <w:szCs w:val="21"/>
          <w:highlight w:val="yellow"/>
        </w:rPr>
      </w:pPr>
      <w:r>
        <w:rPr>
          <w:rFonts w:hint="eastAsia" w:ascii="宋体" w:hAnsi="宋体" w:cs="宋体"/>
        </w:rPr>
        <w:t>合同签订后30日历天提交咨询报告成果。</w:t>
      </w:r>
    </w:p>
    <w:p>
      <w:pPr>
        <w:spacing w:line="400" w:lineRule="exact"/>
        <w:ind w:firstLine="420" w:firstLineChars="200"/>
        <w:rPr>
          <w:rFonts w:ascii="宋体" w:hAnsi="宋体" w:cs="宋体"/>
        </w:rPr>
      </w:pPr>
      <w:r>
        <w:rPr>
          <w:rFonts w:hint="eastAsia" w:ascii="宋体" w:hAnsi="宋体" w:cs="宋体"/>
        </w:rPr>
        <w:t>九、采购服务交付地点：攀枝花市东区机场路149号悦酒店5楼</w:t>
      </w: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r>
        <w:rPr>
          <w:rFonts w:hint="eastAsia" w:ascii="宋体" w:hAnsi="宋体" w:cs="宋体"/>
        </w:rPr>
        <w:t>十、对服务商的资格要求：</w:t>
      </w:r>
    </w:p>
    <w:p>
      <w:pPr>
        <w:spacing w:line="360" w:lineRule="auto"/>
        <w:ind w:firstLine="480" w:firstLineChars="200"/>
        <w:rPr>
          <w:rFonts w:ascii="宋体" w:hAnsi="宋体" w:cs="宋体"/>
        </w:rPr>
      </w:pPr>
      <w:r>
        <w:rPr>
          <w:rFonts w:hint="eastAsia" w:ascii="宋体" w:hAnsi="宋体" w:cs="宋体"/>
          <w:sz w:val="24"/>
        </w:rPr>
        <w:t>（一）</w:t>
      </w:r>
      <w:r>
        <w:rPr>
          <w:rFonts w:hint="eastAsia" w:ascii="宋体" w:hAnsi="宋体" w:cs="宋体"/>
        </w:rPr>
        <w:t>本项目不接受联合体参与采购询比。</w:t>
      </w:r>
    </w:p>
    <w:p>
      <w:pPr>
        <w:pStyle w:val="6"/>
        <w:ind w:firstLine="480" w:firstLineChars="200"/>
        <w:rPr>
          <w:rFonts w:ascii="宋体" w:hAnsi="宋体" w:cs="宋体"/>
        </w:rPr>
      </w:pPr>
      <w:r>
        <w:rPr>
          <w:rFonts w:hint="eastAsia" w:ascii="宋体" w:hAnsi="宋体" w:cs="宋体"/>
        </w:rPr>
        <w:t>（二）</w:t>
      </w:r>
      <w:r>
        <w:rPr>
          <w:rFonts w:hint="eastAsia" w:ascii="宋体" w:hAnsi="宋体" w:cs="宋体"/>
          <w:sz w:val="21"/>
          <w:szCs w:val="21"/>
        </w:rPr>
        <w:t>资格要求：</w:t>
      </w:r>
      <w:r>
        <w:rPr>
          <w:rFonts w:ascii="宋体" w:hAnsi="宋体" w:cs="宋体"/>
          <w:szCs w:val="21"/>
        </w:rPr>
        <w:t xml:space="preserve"> </w:t>
      </w:r>
    </w:p>
    <w:p>
      <w:pPr>
        <w:pStyle w:val="6"/>
        <w:ind w:firstLine="420" w:firstLineChars="200"/>
        <w:rPr>
          <w:rFonts w:hint="eastAsia" w:ascii="宋体" w:hAnsi="宋体" w:cs="宋体"/>
          <w:color w:val="FF0000"/>
          <w:sz w:val="21"/>
          <w:szCs w:val="21"/>
        </w:rPr>
      </w:pPr>
      <w:r>
        <w:rPr>
          <w:rFonts w:hint="eastAsia" w:ascii="宋体" w:hAnsi="宋体" w:cs="宋体"/>
          <w:sz w:val="21"/>
          <w:szCs w:val="21"/>
        </w:rPr>
        <w:t>1、</w:t>
      </w:r>
      <w:r>
        <w:rPr>
          <w:rFonts w:hint="eastAsia" w:ascii="宋体" w:hAnsi="宋体" w:cs="宋体"/>
          <w:color w:val="FF0000"/>
          <w:sz w:val="21"/>
          <w:szCs w:val="21"/>
        </w:rPr>
        <w:t>服务商应为在中华人民共和国境内注册、具有独立法人资格、具备市政公用工程甲级咨询服务；</w:t>
      </w:r>
    </w:p>
    <w:p>
      <w:pPr>
        <w:pStyle w:val="6"/>
        <w:ind w:firstLine="420" w:firstLineChars="200"/>
        <w:rPr>
          <w:rFonts w:ascii="宋体" w:hAnsi="宋体" w:cs="宋体"/>
          <w:sz w:val="21"/>
          <w:szCs w:val="21"/>
        </w:rPr>
      </w:pPr>
      <w:r>
        <w:rPr>
          <w:rFonts w:hint="eastAsia" w:ascii="宋体" w:hAnsi="宋体" w:cs="宋体"/>
          <w:sz w:val="21"/>
          <w:szCs w:val="21"/>
        </w:rPr>
        <w:t>2、财务要求：服务商的财务状况良好，无破产、资产被冻结、接管等情况发生（提供</w:t>
      </w:r>
      <w:r>
        <w:rPr>
          <w:rFonts w:ascii="宋体" w:hAnsi="宋体" w:cs="宋体"/>
          <w:sz w:val="21"/>
          <w:szCs w:val="21"/>
        </w:rPr>
        <w:t>201</w:t>
      </w:r>
      <w:r>
        <w:rPr>
          <w:rFonts w:hint="eastAsia" w:ascii="宋体" w:hAnsi="宋体" w:cs="宋体"/>
          <w:sz w:val="21"/>
          <w:szCs w:val="21"/>
        </w:rPr>
        <w:t>9</w:t>
      </w:r>
      <w:r>
        <w:rPr>
          <w:rFonts w:ascii="宋体" w:hAnsi="宋体" w:cs="宋体"/>
          <w:sz w:val="21"/>
          <w:szCs w:val="21"/>
        </w:rPr>
        <w:t>年度、20</w:t>
      </w:r>
      <w:r>
        <w:rPr>
          <w:rFonts w:hint="eastAsia" w:ascii="宋体" w:hAnsi="宋体" w:cs="宋体"/>
          <w:sz w:val="21"/>
          <w:szCs w:val="21"/>
        </w:rPr>
        <w:t>20年度、2021年度</w:t>
      </w:r>
      <w:r>
        <w:rPr>
          <w:rFonts w:ascii="宋体" w:hAnsi="宋体" w:cs="宋体"/>
          <w:sz w:val="21"/>
          <w:szCs w:val="21"/>
        </w:rPr>
        <w:t>年度</w:t>
      </w:r>
      <w:r>
        <w:rPr>
          <w:rFonts w:hint="eastAsia" w:ascii="宋体" w:hAnsi="宋体" w:cs="宋体"/>
          <w:sz w:val="21"/>
          <w:szCs w:val="21"/>
        </w:rPr>
        <w:t>经会计师事务所审计的财务审计报告）。</w:t>
      </w:r>
    </w:p>
    <w:p>
      <w:pPr>
        <w:pStyle w:val="6"/>
        <w:ind w:firstLine="420" w:firstLineChars="200"/>
        <w:rPr>
          <w:rFonts w:ascii="宋体" w:hAnsi="宋体" w:cs="宋体"/>
          <w:sz w:val="21"/>
          <w:szCs w:val="21"/>
        </w:rPr>
      </w:pPr>
      <w:r>
        <w:rPr>
          <w:rFonts w:ascii="宋体" w:hAnsi="宋体" w:cs="宋体"/>
          <w:sz w:val="21"/>
          <w:szCs w:val="21"/>
        </w:rPr>
        <w:t>3、业绩要求：</w:t>
      </w:r>
      <w:r>
        <w:rPr>
          <w:rFonts w:hint="eastAsia" w:ascii="宋体" w:hAnsi="宋体" w:cs="宋体"/>
          <w:sz w:val="21"/>
          <w:szCs w:val="21"/>
        </w:rPr>
        <w:t>服务商</w:t>
      </w:r>
      <w:r>
        <w:rPr>
          <w:rFonts w:ascii="宋体" w:hAnsi="宋体" w:cs="宋体"/>
          <w:sz w:val="21"/>
          <w:szCs w:val="21"/>
        </w:rPr>
        <w:t>近三年内（201</w:t>
      </w:r>
      <w:r>
        <w:rPr>
          <w:rFonts w:hint="eastAsia" w:ascii="宋体" w:hAnsi="宋体" w:cs="宋体"/>
          <w:sz w:val="21"/>
          <w:szCs w:val="21"/>
        </w:rPr>
        <w:t>9</w:t>
      </w:r>
      <w:r>
        <w:rPr>
          <w:rFonts w:ascii="宋体" w:hAnsi="宋体" w:cs="宋体"/>
          <w:sz w:val="21"/>
          <w:szCs w:val="21"/>
        </w:rPr>
        <w:t>年1月1日（含）至今）具有类似服务业绩，服务对象不少于三家单位（提供业绩合同证明材料）。</w:t>
      </w:r>
    </w:p>
    <w:p>
      <w:pPr>
        <w:pStyle w:val="6"/>
        <w:ind w:firstLine="420" w:firstLineChars="200"/>
        <w:rPr>
          <w:rFonts w:ascii="宋体" w:hAnsi="宋体" w:cs="宋体"/>
          <w:sz w:val="21"/>
          <w:szCs w:val="21"/>
        </w:rPr>
      </w:pPr>
      <w:r>
        <w:rPr>
          <w:rFonts w:ascii="宋体" w:hAnsi="宋体" w:cs="宋体"/>
          <w:sz w:val="21"/>
          <w:szCs w:val="21"/>
        </w:rPr>
        <w:t>4、信誉要求：</w:t>
      </w:r>
      <w:r>
        <w:rPr>
          <w:rFonts w:hint="eastAsia" w:ascii="宋体" w:hAnsi="宋体" w:cs="宋体"/>
          <w:sz w:val="21"/>
          <w:szCs w:val="21"/>
        </w:rPr>
        <w:t>服务商</w:t>
      </w:r>
      <w:r>
        <w:rPr>
          <w:rFonts w:ascii="宋体" w:hAnsi="宋体" w:cs="宋体"/>
          <w:sz w:val="21"/>
          <w:szCs w:val="21"/>
        </w:rPr>
        <w:t>在国家企业信用信息公示系统（http://www.gsxt.gov.cn）上无不良信用记录，未被列入“信用中国”网站受惩黑名单（附响应文件递交截止时间前1-5个工作日国家企业信用信息公示系统、信用中国查询记录截屏）。</w:t>
      </w:r>
    </w:p>
    <w:p>
      <w:pPr>
        <w:pStyle w:val="6"/>
        <w:ind w:firstLine="420" w:firstLineChars="200"/>
        <w:rPr>
          <w:rFonts w:ascii="宋体" w:hAnsi="宋体" w:cs="宋体"/>
          <w:sz w:val="21"/>
          <w:szCs w:val="21"/>
        </w:rPr>
      </w:pPr>
      <w:r>
        <w:rPr>
          <w:rFonts w:hint="eastAsia" w:ascii="宋体" w:hAnsi="宋体" w:cs="宋体"/>
          <w:sz w:val="21"/>
          <w:szCs w:val="21"/>
        </w:rPr>
        <w:t>5、其他要求：</w:t>
      </w:r>
    </w:p>
    <w:p>
      <w:pPr>
        <w:pStyle w:val="6"/>
        <w:ind w:firstLine="420" w:firstLineChars="200"/>
        <w:rPr>
          <w:rFonts w:ascii="宋体" w:hAnsi="宋体" w:cs="宋体"/>
          <w:sz w:val="21"/>
          <w:szCs w:val="21"/>
        </w:rPr>
      </w:pPr>
      <w:r>
        <w:rPr>
          <w:rFonts w:hint="eastAsia" w:ascii="宋体" w:hAnsi="宋体" w:cs="宋体"/>
          <w:sz w:val="21"/>
          <w:szCs w:val="21"/>
        </w:rPr>
        <w:t>服务商的负责人为同一人或者存在控股、管理关系的不同单位，不得参加同一标段询比或者未划分标段的同一采购项目询比。</w:t>
      </w:r>
    </w:p>
    <w:p>
      <w:pPr>
        <w:spacing w:line="360" w:lineRule="auto"/>
        <w:ind w:firstLine="420" w:firstLineChars="200"/>
        <w:rPr>
          <w:rFonts w:ascii="宋体" w:hAnsi="宋体" w:cs="宋体"/>
          <w:szCs w:val="22"/>
        </w:rPr>
      </w:pPr>
      <w:r>
        <w:rPr>
          <w:rFonts w:hint="eastAsia" w:ascii="宋体" w:hAnsi="宋体" w:cs="宋体"/>
          <w:szCs w:val="22"/>
        </w:rPr>
        <w:t>十一、资格审查方式：</w:t>
      </w:r>
    </w:p>
    <w:p>
      <w:pPr>
        <w:spacing w:line="360" w:lineRule="auto"/>
        <w:ind w:firstLine="420" w:firstLineChars="200"/>
        <w:rPr>
          <w:rFonts w:ascii="宋体" w:hAnsi="宋体" w:cs="宋体"/>
        </w:rPr>
      </w:pPr>
      <w:r>
        <w:rPr>
          <w:rFonts w:hint="eastAsia" w:ascii="宋体" w:hAnsi="宋体" w:cs="宋体"/>
        </w:rPr>
        <w:t>本项目资格审查方式为资格后审，服务商自行判断是否符合公告要求，并决定是否获取采购文件参与项目采购询比。</w:t>
      </w:r>
    </w:p>
    <w:bookmarkEnd w:id="24"/>
    <w:bookmarkEnd w:id="25"/>
    <w:bookmarkEnd w:id="26"/>
    <w:p>
      <w:pPr>
        <w:pStyle w:val="27"/>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十二、采购文件的获取：</w:t>
      </w:r>
    </w:p>
    <w:p>
      <w:pPr>
        <w:pStyle w:val="6"/>
        <w:ind w:firstLine="420" w:firstLineChars="200"/>
        <w:rPr>
          <w:rFonts w:hint="eastAsia" w:ascii="宋体" w:hAnsi="宋体" w:eastAsia="宋体" w:cs="宋体"/>
          <w:sz w:val="21"/>
          <w:szCs w:val="21"/>
          <w:lang w:eastAsia="zh-CN"/>
        </w:rPr>
      </w:pPr>
      <w:r>
        <w:rPr>
          <w:rFonts w:hint="eastAsia" w:hAnsi="宋体" w:cs="宋体"/>
          <w:color w:val="0000FF"/>
          <w:sz w:val="21"/>
          <w:szCs w:val="21"/>
        </w:rPr>
        <w:t xml:space="preserve"> </w:t>
      </w:r>
      <w:r>
        <w:rPr>
          <w:rFonts w:hint="eastAsia" w:ascii="宋体" w:hAnsi="宋体" w:eastAsia="宋体" w:cs="宋体"/>
          <w:sz w:val="21"/>
          <w:szCs w:val="21"/>
          <w:lang w:eastAsia="zh-CN"/>
        </w:rPr>
        <w:t xml:space="preserve"> （一）采购文件获取截止时间：2022年</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日23时59分截止(请确认参与该项目响应的服务商于采购文件获取截止时间前与采购人进行项目参与报名登记。联系人：王明光，联系方式：0812-3606618/15012237744）</w:t>
      </w:r>
    </w:p>
    <w:p>
      <w:pPr>
        <w:pStyle w:val="6"/>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（二）采购文件获取方式：通过中节能（攀枝花）清洁技术发展有限公司企业网站（http://www.pzhqjjs.com/）获取采购文件。</w:t>
      </w:r>
    </w:p>
    <w:p>
      <w:pPr>
        <w:pStyle w:val="6"/>
        <w:ind w:firstLine="420" w:firstLineChars="200"/>
        <w:rPr>
          <w:rFonts w:hint="eastAsia" w:ascii="宋体" w:hAnsi="宋体" w:eastAsia="宋体" w:cs="宋体"/>
          <w:sz w:val="21"/>
          <w:szCs w:val="21"/>
        </w:rPr>
      </w:pPr>
      <w:r>
        <w:rPr>
          <w:rFonts w:hint="eastAsia" w:ascii="宋体" w:hAnsi="宋体" w:eastAsia="宋体" w:cs="宋体"/>
          <w:sz w:val="21"/>
          <w:szCs w:val="21"/>
        </w:rPr>
        <w:t>十</w:t>
      </w:r>
      <w:r>
        <w:rPr>
          <w:rFonts w:hint="eastAsia" w:ascii="宋体" w:hAnsi="宋体" w:eastAsia="宋体" w:cs="宋体"/>
          <w:sz w:val="21"/>
          <w:szCs w:val="21"/>
          <w:lang w:val="en-US" w:eastAsia="zh-CN"/>
        </w:rPr>
        <w:t>三</w:t>
      </w:r>
      <w:r>
        <w:rPr>
          <w:rFonts w:hint="eastAsia" w:ascii="宋体" w:hAnsi="宋体" w:eastAsia="宋体" w:cs="宋体"/>
          <w:sz w:val="21"/>
          <w:szCs w:val="21"/>
        </w:rPr>
        <w:t>、响应文件递交截止时间及开启方式：</w:t>
      </w:r>
    </w:p>
    <w:p>
      <w:pPr>
        <w:pStyle w:val="6"/>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rPr>
        <w:t>响应文件</w:t>
      </w:r>
      <w:r>
        <w:rPr>
          <w:rFonts w:hint="eastAsia" w:ascii="宋体" w:hAnsi="宋体" w:eastAsia="宋体" w:cs="宋体"/>
          <w:sz w:val="21"/>
          <w:szCs w:val="21"/>
          <w:lang w:val="en-US" w:eastAsia="zh-CN"/>
        </w:rPr>
        <w:t>递交</w:t>
      </w:r>
      <w:r>
        <w:rPr>
          <w:rFonts w:hint="eastAsia" w:ascii="宋体" w:hAnsi="宋体" w:eastAsia="宋体" w:cs="宋体"/>
          <w:sz w:val="21"/>
          <w:szCs w:val="21"/>
        </w:rPr>
        <w:t>截止时间：</w:t>
      </w:r>
      <w:r>
        <w:rPr>
          <w:rFonts w:hint="eastAsia" w:ascii="宋体" w:hAnsi="宋体" w:eastAsia="宋体" w:cs="宋体"/>
          <w:sz w:val="21"/>
          <w:szCs w:val="21"/>
          <w:lang w:val="en-US" w:eastAsia="zh-CN"/>
        </w:rPr>
        <w:t>2022年7月14日12:00整（服务商须在响应文件递交截止时间前将响应文件递交至：攀枝花市东区机场路149号悦酒店5楼，接收人王明光，电话0812-3606618</w:t>
      </w:r>
      <w:r>
        <w:rPr>
          <w:rFonts w:hint="eastAsia" w:ascii="宋体" w:hAnsi="宋体" w:eastAsia="宋体" w:cs="宋体"/>
          <w:sz w:val="21"/>
          <w:szCs w:val="21"/>
          <w:lang w:eastAsia="zh-CN"/>
        </w:rPr>
        <w:t>/15012237744）</w:t>
      </w:r>
    </w:p>
    <w:p>
      <w:pPr>
        <w:pStyle w:val="27"/>
        <w:spacing w:before="0" w:beforeAutospacing="0" w:after="0" w:afterAutospacing="0" w:line="400" w:lineRule="exact"/>
        <w:ind w:firstLine="420" w:firstLineChars="200"/>
        <w:rPr>
          <w:rFonts w:hint="eastAsia" w:hAnsi="宋体" w:cs="宋体"/>
          <w:sz w:val="21"/>
          <w:szCs w:val="21"/>
          <w:lang w:val="en-US" w:eastAsia="zh-CN"/>
        </w:rPr>
      </w:pPr>
      <w:r>
        <w:rPr>
          <w:rFonts w:hint="eastAsia" w:hAnsi="宋体" w:cs="宋体"/>
          <w:sz w:val="21"/>
          <w:szCs w:val="21"/>
          <w:lang w:val="en-US" w:eastAsia="zh-CN"/>
        </w:rPr>
        <w:t>（二）评审（谈判）时间：2022年7月15日09:30分</w:t>
      </w:r>
    </w:p>
    <w:p>
      <w:pPr>
        <w:pStyle w:val="27"/>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w:t>
      </w:r>
      <w:r>
        <w:rPr>
          <w:rFonts w:hint="eastAsia" w:hAnsi="宋体" w:cs="宋体"/>
          <w:sz w:val="21"/>
          <w:szCs w:val="21"/>
          <w:lang w:val="en-US" w:eastAsia="zh-CN"/>
        </w:rPr>
        <w:t>三</w:t>
      </w:r>
      <w:r>
        <w:rPr>
          <w:rFonts w:hint="eastAsia" w:hAnsi="宋体" w:cs="宋体"/>
          <w:sz w:val="21"/>
          <w:szCs w:val="21"/>
        </w:rPr>
        <w:t>）响应文件开启方式：</w:t>
      </w:r>
      <w:r>
        <w:rPr>
          <w:rFonts w:hint="eastAsia" w:hAnsi="宋体" w:cs="宋体"/>
          <w:sz w:val="21"/>
          <w:szCs w:val="21"/>
          <w:lang w:val="en-US" w:eastAsia="zh-CN"/>
        </w:rPr>
        <w:t>线上开启，腾讯会议（会议ID：</w:t>
      </w:r>
      <w:r>
        <w:rPr>
          <w:rFonts w:hint="eastAsia" w:ascii="宋体" w:hAnsi="宋体" w:eastAsia="宋体" w:cs="宋体"/>
          <w:kern w:val="2"/>
          <w:sz w:val="21"/>
          <w:szCs w:val="21"/>
          <w:lang w:val="en-US" w:eastAsia="zh-CN" w:bidi="ar-SA"/>
        </w:rPr>
        <w:t>375-777-264</w:t>
      </w:r>
      <w:r>
        <w:rPr>
          <w:rFonts w:hint="eastAsia" w:hAnsi="宋体" w:cs="宋体"/>
          <w:sz w:val="21"/>
          <w:szCs w:val="21"/>
          <w:lang w:val="en-US" w:eastAsia="zh-CN"/>
        </w:rPr>
        <w:t>）</w:t>
      </w:r>
      <w:r>
        <w:rPr>
          <w:rFonts w:hint="eastAsia" w:hAnsi="宋体" w:cs="宋体"/>
          <w:sz w:val="21"/>
          <w:szCs w:val="21"/>
        </w:rPr>
        <w:t>。</w:t>
      </w:r>
    </w:p>
    <w:p>
      <w:pPr>
        <w:pStyle w:val="27"/>
        <w:spacing w:before="0" w:beforeAutospacing="0" w:after="0" w:afterAutospacing="0" w:line="400" w:lineRule="exact"/>
        <w:ind w:firstLine="210" w:firstLineChars="100"/>
        <w:rPr>
          <w:rFonts w:hint="eastAsia" w:hAnsi="宋体" w:cs="宋体"/>
          <w:sz w:val="21"/>
          <w:szCs w:val="21"/>
        </w:rPr>
      </w:pPr>
    </w:p>
    <w:p>
      <w:pPr>
        <w:pStyle w:val="27"/>
        <w:spacing w:before="0" w:beforeAutospacing="0" w:after="0" w:afterAutospacing="0" w:line="400" w:lineRule="exact"/>
        <w:ind w:firstLine="210" w:firstLineChars="100"/>
        <w:rPr>
          <w:rFonts w:hAnsi="宋体" w:cs="宋体"/>
          <w:sz w:val="21"/>
          <w:szCs w:val="21"/>
        </w:rPr>
      </w:pPr>
      <w:r>
        <w:rPr>
          <w:rFonts w:hint="eastAsia" w:hAnsi="宋体" w:cs="宋体"/>
          <w:sz w:val="21"/>
          <w:szCs w:val="21"/>
        </w:rPr>
        <w:t>十</w:t>
      </w:r>
      <w:r>
        <w:rPr>
          <w:rFonts w:hint="eastAsia" w:hAnsi="宋体" w:cs="宋体"/>
          <w:sz w:val="21"/>
          <w:szCs w:val="21"/>
          <w:lang w:val="en-US" w:eastAsia="zh-CN"/>
        </w:rPr>
        <w:t>四</w:t>
      </w:r>
      <w:r>
        <w:rPr>
          <w:rFonts w:hint="eastAsia" w:hAnsi="宋体" w:cs="宋体"/>
          <w:sz w:val="21"/>
          <w:szCs w:val="21"/>
        </w:rPr>
        <w:t>、响应保证金：</w:t>
      </w:r>
    </w:p>
    <w:p>
      <w:pPr>
        <w:pStyle w:val="27"/>
        <w:spacing w:before="0" w:beforeAutospacing="0" w:after="0" w:afterAutospacing="0" w:line="400" w:lineRule="exact"/>
        <w:ind w:firstLine="630" w:firstLineChars="300"/>
        <w:rPr>
          <w:rFonts w:hAnsi="宋体" w:cs="宋体"/>
          <w:kern w:val="2"/>
          <w:sz w:val="21"/>
          <w:szCs w:val="21"/>
        </w:rPr>
      </w:pPr>
      <w:r>
        <w:rPr>
          <w:rFonts w:hint="eastAsia" w:hAnsi="宋体" w:cs="宋体"/>
          <w:kern w:val="2"/>
          <w:sz w:val="21"/>
          <w:szCs w:val="21"/>
        </w:rPr>
        <w:t>无</w:t>
      </w:r>
    </w:p>
    <w:p>
      <w:pPr>
        <w:pStyle w:val="27"/>
        <w:spacing w:before="0" w:beforeAutospacing="0" w:after="0" w:afterAutospacing="0" w:line="400" w:lineRule="exact"/>
        <w:ind w:firstLine="210" w:firstLineChars="100"/>
        <w:rPr>
          <w:rFonts w:hAnsi="宋体" w:cs="宋体"/>
          <w:sz w:val="21"/>
          <w:szCs w:val="21"/>
        </w:rPr>
      </w:pPr>
      <w:r>
        <w:rPr>
          <w:rFonts w:hint="eastAsia" w:hAnsi="宋体" w:cs="宋体"/>
          <w:sz w:val="21"/>
          <w:szCs w:val="21"/>
        </w:rPr>
        <w:t>十</w:t>
      </w:r>
      <w:r>
        <w:rPr>
          <w:rFonts w:hint="eastAsia" w:hAnsi="宋体" w:cs="宋体"/>
          <w:sz w:val="21"/>
          <w:szCs w:val="21"/>
          <w:lang w:val="en-US" w:eastAsia="zh-CN"/>
        </w:rPr>
        <w:t>五</w:t>
      </w:r>
      <w:r>
        <w:rPr>
          <w:rFonts w:hint="eastAsia" w:hAnsi="宋体" w:cs="宋体"/>
          <w:sz w:val="21"/>
          <w:szCs w:val="21"/>
        </w:rPr>
        <w:t>、公告发布媒介：</w:t>
      </w:r>
    </w:p>
    <w:p>
      <w:pPr>
        <w:pStyle w:val="27"/>
        <w:spacing w:before="0" w:beforeAutospacing="0" w:after="0" w:afterAutospacing="0" w:line="400" w:lineRule="exact"/>
        <w:rPr>
          <w:rFonts w:hAnsi="宋体" w:cs="宋体"/>
          <w:sz w:val="21"/>
          <w:szCs w:val="21"/>
        </w:rPr>
      </w:pPr>
      <w:r>
        <w:rPr>
          <w:rFonts w:hint="eastAsia" w:hAnsi="宋体" w:cs="宋体"/>
          <w:sz w:val="21"/>
          <w:szCs w:val="21"/>
        </w:rPr>
        <w:t xml:space="preserve">    本公告通过中节能（攀枝花）清洁技术发展有限公司企业网站（http://www.pzhqjjs.com/）对外公开发布。</w:t>
      </w:r>
    </w:p>
    <w:p>
      <w:pPr>
        <w:pStyle w:val="27"/>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十</w:t>
      </w:r>
      <w:r>
        <w:rPr>
          <w:rFonts w:hint="eastAsia" w:hAnsi="宋体" w:cs="宋体"/>
          <w:sz w:val="21"/>
          <w:szCs w:val="21"/>
          <w:lang w:val="en-US" w:eastAsia="zh-CN"/>
        </w:rPr>
        <w:t>六</w:t>
      </w:r>
      <w:r>
        <w:rPr>
          <w:rFonts w:hint="eastAsia" w:hAnsi="宋体" w:cs="宋体"/>
          <w:sz w:val="21"/>
          <w:szCs w:val="21"/>
        </w:rPr>
        <w:t>、联系方式：</w:t>
      </w:r>
    </w:p>
    <w:tbl>
      <w:tblPr>
        <w:tblStyle w:val="30"/>
        <w:tblW w:w="8831"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862"/>
        <w:gridCol w:w="39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8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line="400" w:lineRule="exact"/>
              <w:jc w:val="left"/>
              <w:rPr>
                <w:rFonts w:ascii="宋体" w:hAnsi="宋体" w:cs="宋体"/>
                <w:szCs w:val="21"/>
              </w:rPr>
            </w:pPr>
            <w:r>
              <w:rPr>
                <w:rFonts w:hint="eastAsia" w:ascii="宋体" w:hAnsi="宋体" w:cs="宋体"/>
                <w:kern w:val="0"/>
                <w:szCs w:val="21"/>
              </w:rPr>
              <w:t>采购人：中节能（攀枝花）清洁技术发展有限公司</w:t>
            </w:r>
          </w:p>
        </w:tc>
        <w:tc>
          <w:tcPr>
            <w:tcW w:w="3969" w:type="dxa"/>
            <w:tcBorders>
              <w:top w:val="outset" w:color="auto" w:sz="6" w:space="0"/>
              <w:left w:val="nil"/>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line="400" w:lineRule="exact"/>
              <w:jc w:val="left"/>
              <w:rPr>
                <w:rFonts w:ascii="宋体" w:hAnsi="宋体" w:cs="宋体"/>
                <w:szCs w:val="21"/>
              </w:rPr>
            </w:pPr>
            <w:r>
              <w:rPr>
                <w:rFonts w:hint="eastAsia" w:ascii="宋体" w:hAnsi="宋体" w:cs="宋体"/>
                <w:kern w:val="0"/>
                <w:szCs w:val="21"/>
              </w:rPr>
              <w:t>代理机构：</w:t>
            </w:r>
            <w:r>
              <w:rPr>
                <w:rFonts w:ascii="宋体" w:hAnsi="宋体" w:cs="宋体"/>
                <w:szCs w:val="21"/>
              </w:rPr>
              <w:t xml:space="preserve"> </w:t>
            </w:r>
            <w:r>
              <w:rPr>
                <w:rFonts w:hint="eastAsia" w:ascii="宋体" w:hAnsi="宋体" w:cs="宋体"/>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8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line="400" w:lineRule="exact"/>
              <w:jc w:val="left"/>
              <w:rPr>
                <w:rFonts w:ascii="宋体" w:hAnsi="宋体" w:cs="宋体"/>
                <w:szCs w:val="21"/>
              </w:rPr>
            </w:pPr>
            <w:r>
              <w:rPr>
                <w:rFonts w:hint="eastAsia" w:ascii="宋体" w:hAnsi="宋体" w:cs="宋体"/>
                <w:kern w:val="0"/>
                <w:szCs w:val="21"/>
              </w:rPr>
              <w:t>地址：</w:t>
            </w:r>
            <w:r>
              <w:rPr>
                <w:rFonts w:hint="eastAsia" w:ascii="宋体" w:hAnsi="宋体" w:cs="宋体"/>
              </w:rPr>
              <w:t>四川省攀枝花市东区机场路149号悦酒店5楼</w:t>
            </w:r>
          </w:p>
        </w:tc>
        <w:tc>
          <w:tcPr>
            <w:tcW w:w="3969" w:type="dxa"/>
            <w:tcBorders>
              <w:top w:val="outset" w:color="auto" w:sz="6" w:space="0"/>
              <w:left w:val="nil"/>
              <w:bottom w:val="outset" w:color="auto" w:sz="6" w:space="0"/>
              <w:right w:val="outset" w:color="auto" w:sz="6" w:space="0"/>
            </w:tcBorders>
            <w:shd w:val="clear" w:color="auto" w:fill="auto"/>
            <w:tcMar>
              <w:top w:w="0" w:type="dxa"/>
              <w:left w:w="0" w:type="dxa"/>
              <w:bottom w:w="0" w:type="dxa"/>
              <w:right w:w="0" w:type="dxa"/>
            </w:tcMar>
            <w:vAlign w:val="center"/>
          </w:tcPr>
          <w:p>
            <w:pPr>
              <w:widowControl/>
              <w:adjustRightInd w:val="0"/>
              <w:spacing w:line="400" w:lineRule="exact"/>
              <w:jc w:val="left"/>
              <w:rPr>
                <w:rFonts w:ascii="宋体" w:hAnsi="宋体" w:cs="宋体"/>
                <w:szCs w:val="21"/>
              </w:rPr>
            </w:pPr>
            <w:r>
              <w:rPr>
                <w:rFonts w:hint="eastAsia" w:ascii="宋体" w:hAnsi="宋体" w:cs="宋体"/>
                <w:kern w:val="0"/>
                <w:szCs w:val="21"/>
              </w:rPr>
              <w:t>地址：</w:t>
            </w:r>
            <w:r>
              <w:rPr>
                <w:rFonts w:ascii="宋体" w:hAnsi="宋体" w:cs="宋体"/>
                <w:szCs w:val="21"/>
              </w:rPr>
              <w:t xml:space="preserve"> </w:t>
            </w:r>
            <w:r>
              <w:rPr>
                <w:rFonts w:hint="eastAsia" w:ascii="宋体" w:hAnsi="宋体" w:cs="宋体"/>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8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line="400" w:lineRule="exact"/>
              <w:jc w:val="left"/>
              <w:rPr>
                <w:rFonts w:ascii="宋体" w:hAnsi="宋体" w:cs="宋体"/>
                <w:szCs w:val="21"/>
              </w:rPr>
            </w:pPr>
            <w:r>
              <w:rPr>
                <w:rFonts w:hint="eastAsia" w:ascii="宋体" w:hAnsi="宋体" w:cs="宋体"/>
                <w:kern w:val="0"/>
                <w:szCs w:val="21"/>
              </w:rPr>
              <w:t>联系人： 王明光</w:t>
            </w:r>
          </w:p>
        </w:tc>
        <w:tc>
          <w:tcPr>
            <w:tcW w:w="3969" w:type="dxa"/>
            <w:tcBorders>
              <w:top w:val="outset" w:color="auto" w:sz="6" w:space="0"/>
              <w:left w:val="nil"/>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line="400" w:lineRule="exact"/>
              <w:jc w:val="left"/>
              <w:rPr>
                <w:rFonts w:ascii="宋体" w:hAnsi="宋体" w:cs="宋体"/>
                <w:szCs w:val="21"/>
              </w:rPr>
            </w:pPr>
            <w:r>
              <w:rPr>
                <w:rFonts w:hint="eastAsia" w:ascii="宋体" w:hAnsi="宋体" w:cs="宋体"/>
                <w:kern w:val="0"/>
                <w:szCs w:val="21"/>
              </w:rPr>
              <w:t>联系人：</w:t>
            </w:r>
            <w:r>
              <w:rPr>
                <w:rFonts w:ascii="宋体" w:hAnsi="宋体" w:cs="宋体"/>
                <w:szCs w:val="21"/>
              </w:rPr>
              <w:t xml:space="preserve"> </w:t>
            </w:r>
            <w:r>
              <w:rPr>
                <w:rFonts w:hint="eastAsia" w:ascii="宋体" w:hAnsi="宋体" w:cs="宋体"/>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8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line="400" w:lineRule="exact"/>
              <w:jc w:val="left"/>
              <w:rPr>
                <w:rFonts w:ascii="宋体" w:hAnsi="宋体" w:cs="宋体"/>
                <w:szCs w:val="21"/>
              </w:rPr>
            </w:pPr>
            <w:r>
              <w:rPr>
                <w:rFonts w:hint="eastAsia" w:ascii="宋体" w:hAnsi="宋体" w:cs="宋体"/>
                <w:kern w:val="0"/>
                <w:szCs w:val="21"/>
              </w:rPr>
              <w:t>电话：0812-3606618/15012237744</w:t>
            </w:r>
          </w:p>
        </w:tc>
        <w:tc>
          <w:tcPr>
            <w:tcW w:w="3969" w:type="dxa"/>
            <w:tcBorders>
              <w:top w:val="outset" w:color="auto" w:sz="6" w:space="0"/>
              <w:left w:val="nil"/>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line="400" w:lineRule="exact"/>
              <w:jc w:val="left"/>
              <w:rPr>
                <w:rFonts w:ascii="宋体" w:hAnsi="宋体" w:cs="宋体"/>
                <w:szCs w:val="21"/>
              </w:rPr>
            </w:pPr>
            <w:r>
              <w:rPr>
                <w:rFonts w:hint="eastAsia" w:ascii="宋体" w:hAnsi="宋体" w:cs="宋体"/>
                <w:kern w:val="0"/>
                <w:szCs w:val="21"/>
              </w:rPr>
              <w:t>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8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line="400" w:lineRule="exact"/>
              <w:jc w:val="left"/>
              <w:rPr>
                <w:rFonts w:ascii="宋体" w:hAnsi="宋体" w:cs="宋体"/>
              </w:rPr>
            </w:pPr>
            <w:r>
              <w:rPr>
                <w:rFonts w:hint="eastAsia" w:ascii="宋体" w:hAnsi="宋体" w:cs="宋体"/>
              </w:rPr>
              <w:t>邮箱：</w:t>
            </w:r>
            <w:r>
              <w:fldChar w:fldCharType="begin"/>
            </w:r>
            <w:r>
              <w:instrText xml:space="preserve"> HYPERLINK "mailto:2585354573@qq.com" </w:instrText>
            </w:r>
            <w:r>
              <w:fldChar w:fldCharType="separate"/>
            </w:r>
            <w:r>
              <w:rPr>
                <w:rFonts w:hint="eastAsia" w:ascii="宋体" w:hAnsi="宋体" w:cs="宋体"/>
              </w:rPr>
              <w:t>2585354573@qq.com</w:t>
            </w:r>
            <w:r>
              <w:rPr>
                <w:rFonts w:hint="eastAsia" w:ascii="宋体" w:hAnsi="宋体" w:cs="宋体"/>
              </w:rPr>
              <w:fldChar w:fldCharType="end"/>
            </w:r>
          </w:p>
        </w:tc>
        <w:tc>
          <w:tcPr>
            <w:tcW w:w="3969" w:type="dxa"/>
            <w:tcBorders>
              <w:top w:val="outset" w:color="auto" w:sz="6" w:space="0"/>
              <w:left w:val="nil"/>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line="400" w:lineRule="exact"/>
              <w:jc w:val="left"/>
              <w:rPr>
                <w:rFonts w:ascii="宋体" w:hAnsi="宋体" w:cs="宋体"/>
                <w:szCs w:val="21"/>
              </w:rPr>
            </w:pPr>
            <w:r>
              <w:rPr>
                <w:rFonts w:hint="eastAsia" w:ascii="宋体" w:hAnsi="宋体" w:cs="宋体"/>
                <w:kern w:val="0"/>
                <w:szCs w:val="21"/>
              </w:rPr>
              <w:t>邮箱：/</w:t>
            </w:r>
          </w:p>
        </w:tc>
      </w:tr>
    </w:tbl>
    <w:p>
      <w:pPr>
        <w:pStyle w:val="6"/>
        <w:rPr>
          <w:rFonts w:ascii="宋体" w:hAnsi="宋体" w:cs="宋体"/>
        </w:rPr>
      </w:pPr>
    </w:p>
    <w:p>
      <w:pPr>
        <w:pStyle w:val="6"/>
        <w:rPr>
          <w:rFonts w:ascii="宋体" w:hAnsi="宋体" w:cs="宋体"/>
        </w:rPr>
      </w:pPr>
    </w:p>
    <w:p/>
    <w:p>
      <w:pPr>
        <w:pStyle w:val="6"/>
        <w:rPr>
          <w:rFonts w:ascii="宋体" w:hAnsi="宋体" w:cs="宋体"/>
        </w:rPr>
      </w:pPr>
    </w:p>
    <w:p>
      <w:pPr>
        <w:sectPr>
          <w:headerReference r:id="rId11" w:type="default"/>
          <w:footerReference r:id="rId12" w:type="default"/>
          <w:pgSz w:w="11905" w:h="16838"/>
          <w:pgMar w:top="1417" w:right="1417" w:bottom="1417" w:left="1417" w:header="992" w:footer="992" w:gutter="0"/>
          <w:pgNumType w:start="1"/>
          <w:cols w:space="720" w:num="1"/>
          <w:docGrid w:type="lines" w:linePitch="318" w:charSpace="0"/>
        </w:sectPr>
      </w:pPr>
    </w:p>
    <w:p>
      <w:pPr>
        <w:pStyle w:val="4"/>
        <w:rPr>
          <w:rFonts w:ascii="Times New Roman" w:eastAsia="黑体"/>
          <w:sz w:val="28"/>
          <w:szCs w:val="28"/>
        </w:rPr>
      </w:pPr>
      <w:bookmarkStart w:id="27" w:name="_Toc17074"/>
      <w:r>
        <w:rPr>
          <w:rFonts w:ascii="Times New Roman" w:eastAsia="黑体"/>
          <w:sz w:val="28"/>
          <w:szCs w:val="28"/>
        </w:rPr>
        <w:t xml:space="preserve">第二章 </w:t>
      </w:r>
      <w:r>
        <w:rPr>
          <w:rFonts w:hint="eastAsia" w:ascii="Times New Roman" w:eastAsia="黑体"/>
          <w:sz w:val="28"/>
          <w:szCs w:val="28"/>
        </w:rPr>
        <w:t>服务商</w:t>
      </w:r>
      <w:r>
        <w:rPr>
          <w:rFonts w:ascii="Times New Roman" w:eastAsia="黑体"/>
          <w:sz w:val="28"/>
          <w:szCs w:val="28"/>
        </w:rPr>
        <w:t>须知</w:t>
      </w:r>
      <w:bookmarkEnd w:id="14"/>
      <w:bookmarkEnd w:id="15"/>
      <w:bookmarkEnd w:id="16"/>
      <w:bookmarkEnd w:id="17"/>
      <w:bookmarkEnd w:id="18"/>
      <w:bookmarkEnd w:id="19"/>
      <w:bookmarkEnd w:id="20"/>
      <w:bookmarkEnd w:id="21"/>
      <w:bookmarkEnd w:id="22"/>
      <w:bookmarkEnd w:id="27"/>
    </w:p>
    <w:p>
      <w:pPr>
        <w:spacing w:line="360" w:lineRule="auto"/>
        <w:jc w:val="center"/>
        <w:rPr>
          <w:rFonts w:ascii="宋体" w:hAnsi="宋体" w:cs="宋体"/>
          <w:b/>
          <w:bCs/>
          <w:sz w:val="24"/>
          <w:szCs w:val="24"/>
        </w:rPr>
      </w:pPr>
      <w:bookmarkStart w:id="28" w:name="_Toc359334181"/>
      <w:bookmarkStart w:id="29" w:name="_Toc16115"/>
      <w:bookmarkStart w:id="30" w:name="_Toc152042304"/>
      <w:bookmarkStart w:id="31" w:name="_Toc144974496"/>
      <w:bookmarkStart w:id="32" w:name="_Toc152045528"/>
      <w:bookmarkStart w:id="33" w:name="_Toc359315075"/>
      <w:bookmarkStart w:id="34" w:name="_Toc350759227"/>
      <w:bookmarkStart w:id="35" w:name="_Toc247527552"/>
      <w:bookmarkStart w:id="36" w:name="_Toc247513951"/>
      <w:r>
        <w:rPr>
          <w:rFonts w:hint="eastAsia" w:ascii="宋体" w:hAnsi="宋体" w:cs="宋体"/>
          <w:b/>
          <w:bCs/>
          <w:sz w:val="24"/>
          <w:szCs w:val="24"/>
        </w:rPr>
        <w:t>服务商须知前附表</w:t>
      </w:r>
      <w:bookmarkEnd w:id="28"/>
      <w:bookmarkEnd w:id="29"/>
      <w:bookmarkEnd w:id="30"/>
      <w:bookmarkEnd w:id="31"/>
      <w:bookmarkEnd w:id="32"/>
      <w:bookmarkEnd w:id="33"/>
      <w:bookmarkEnd w:id="34"/>
      <w:bookmarkEnd w:id="35"/>
      <w:bookmarkEnd w:id="36"/>
    </w:p>
    <w:tbl>
      <w:tblPr>
        <w:tblStyle w:val="30"/>
        <w:tblW w:w="9468" w:type="dxa"/>
        <w:tblInd w:w="0" w:type="dxa"/>
        <w:tblLayout w:type="fixed"/>
        <w:tblCellMar>
          <w:top w:w="0" w:type="dxa"/>
          <w:left w:w="108" w:type="dxa"/>
          <w:bottom w:w="0" w:type="dxa"/>
          <w:right w:w="108" w:type="dxa"/>
        </w:tblCellMar>
      </w:tblPr>
      <w:tblGrid>
        <w:gridCol w:w="1165"/>
        <w:gridCol w:w="2183"/>
        <w:gridCol w:w="6120"/>
      </w:tblGrid>
      <w:tr>
        <w:tblPrEx>
          <w:tblCellMar>
            <w:top w:w="0" w:type="dxa"/>
            <w:left w:w="108" w:type="dxa"/>
            <w:bottom w:w="0" w:type="dxa"/>
            <w:right w:w="108" w:type="dxa"/>
          </w:tblCellMar>
        </w:tblPrEx>
        <w:trPr>
          <w:trHeight w:val="34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序号</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条  款  名  称</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编  列  内  容</w:t>
            </w:r>
          </w:p>
        </w:tc>
      </w:tr>
      <w:tr>
        <w:tblPrEx>
          <w:tblCellMar>
            <w:top w:w="0" w:type="dxa"/>
            <w:left w:w="108" w:type="dxa"/>
            <w:bottom w:w="0" w:type="dxa"/>
            <w:right w:w="108" w:type="dxa"/>
          </w:tblCellMar>
        </w:tblPrEx>
        <w:trPr>
          <w:trHeight w:val="625"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1.1.2</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采购人</w:t>
            </w:r>
          </w:p>
        </w:tc>
        <w:tc>
          <w:tcPr>
            <w:tcW w:w="61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szCs w:val="21"/>
              </w:rPr>
            </w:pPr>
            <w:r>
              <w:rPr>
                <w:rFonts w:hint="eastAsia" w:ascii="宋体" w:hAnsi="宋体" w:cs="宋体"/>
                <w:bCs/>
                <w:szCs w:val="21"/>
              </w:rPr>
              <w:t>采购人：中节能（攀枝花）清洁技术发展有限公司</w:t>
            </w:r>
            <w:r>
              <w:rPr>
                <w:rFonts w:ascii="宋体" w:hAnsi="宋体" w:cs="宋体"/>
                <w:bCs/>
                <w:szCs w:val="21"/>
              </w:rPr>
              <w:t xml:space="preserve"> </w:t>
            </w:r>
          </w:p>
          <w:p>
            <w:pPr>
              <w:jc w:val="left"/>
              <w:rPr>
                <w:rFonts w:ascii="宋体" w:hAnsi="宋体" w:cs="宋体"/>
                <w:bCs/>
                <w:szCs w:val="21"/>
              </w:rPr>
            </w:pPr>
            <w:r>
              <w:rPr>
                <w:rFonts w:hint="eastAsia" w:ascii="宋体" w:hAnsi="宋体" w:cs="宋体"/>
                <w:bCs/>
                <w:szCs w:val="21"/>
              </w:rPr>
              <w:t>地址：攀枝花市仁和区大龙潭彝族乡拉鲊村11组36号</w:t>
            </w:r>
          </w:p>
          <w:p>
            <w:pPr>
              <w:jc w:val="left"/>
              <w:rPr>
                <w:rFonts w:ascii="宋体" w:hAnsi="宋体" w:cs="宋体"/>
                <w:bCs/>
                <w:szCs w:val="21"/>
              </w:rPr>
            </w:pPr>
            <w:r>
              <w:rPr>
                <w:rFonts w:hint="eastAsia" w:ascii="宋体" w:hAnsi="宋体" w:cs="宋体"/>
                <w:bCs/>
                <w:szCs w:val="21"/>
              </w:rPr>
              <w:t>联系人：</w:t>
            </w:r>
            <w:r>
              <w:rPr>
                <w:rFonts w:hint="eastAsia" w:ascii="宋体" w:hAnsi="宋体" w:cs="宋体"/>
                <w:szCs w:val="21"/>
              </w:rPr>
              <w:t>王明光</w:t>
            </w:r>
            <w:r>
              <w:rPr>
                <w:rFonts w:hint="eastAsia" w:ascii="宋体" w:hAnsi="宋体" w:cs="宋体"/>
                <w:bCs/>
                <w:szCs w:val="21"/>
              </w:rPr>
              <w:t xml:space="preserve">      电话：</w:t>
            </w:r>
            <w:r>
              <w:rPr>
                <w:rFonts w:hint="eastAsia" w:ascii="宋体" w:hAnsi="宋体" w:cs="宋体"/>
                <w:kern w:val="0"/>
                <w:szCs w:val="21"/>
              </w:rPr>
              <w:t>0812-3606618</w:t>
            </w:r>
          </w:p>
        </w:tc>
      </w:tr>
      <w:tr>
        <w:tblPrEx>
          <w:tblCellMar>
            <w:top w:w="0" w:type="dxa"/>
            <w:left w:w="108" w:type="dxa"/>
            <w:bottom w:w="0" w:type="dxa"/>
            <w:right w:w="108" w:type="dxa"/>
          </w:tblCellMar>
        </w:tblPrEx>
        <w:trPr>
          <w:trHeight w:val="465"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1.1.3</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采购组织人</w:t>
            </w:r>
          </w:p>
        </w:tc>
        <w:tc>
          <w:tcPr>
            <w:tcW w:w="61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szCs w:val="21"/>
              </w:rPr>
            </w:pPr>
            <w:r>
              <w:rPr>
                <w:rFonts w:hint="eastAsia" w:ascii="宋体" w:hAnsi="宋体" w:cs="宋体"/>
                <w:bCs/>
                <w:szCs w:val="21"/>
              </w:rPr>
              <w:t>/</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1.1.4</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采购项目名称</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FF0000"/>
                <w:szCs w:val="21"/>
              </w:rPr>
            </w:pPr>
            <w:r>
              <w:rPr>
                <w:rFonts w:hint="eastAsia" w:ascii="宋体" w:hAnsi="宋体" w:cs="宋体"/>
                <w:b/>
                <w:color w:val="FF0000"/>
              </w:rPr>
              <w:t>中小微企业和社会源危险废物集中收集贮存试点单位设施甲类库建设项目建议书、可研报告咨询服务采购</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1.1.5</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服务地点</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Cs/>
                <w:szCs w:val="21"/>
              </w:rPr>
              <w:t>攀枝花市仁和区大龙潭彝族乡拉鲊村11组36号</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1.2.1</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资金来源</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企业自筹</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1.2.2</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资金落实情况</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已落实</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1.3.1</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采购范围</w:t>
            </w:r>
          </w:p>
        </w:tc>
        <w:tc>
          <w:tcPr>
            <w:tcW w:w="61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rPr>
              <w:t>完成中小微企业和社会源危险废物集中收集贮存试点单位设施甲类库建设项目的项目建议书及可行性研究报告成果报告编制服务。</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ascii="宋体" w:hAnsi="宋体" w:cs="宋体"/>
                <w:szCs w:val="21"/>
              </w:rPr>
              <w:t>1.3.2</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服务期限</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b/>
                <w:color w:val="0070C0"/>
                <w:szCs w:val="21"/>
              </w:rPr>
            </w:pPr>
            <w:r>
              <w:rPr>
                <w:rFonts w:hint="eastAsia" w:ascii="宋体" w:hAnsi="宋体" w:cs="宋体"/>
              </w:rPr>
              <w:t>合同签订后30日历天提交咨询报告成果。</w:t>
            </w:r>
          </w:p>
        </w:tc>
      </w:tr>
      <w:tr>
        <w:tblPrEx>
          <w:tblCellMar>
            <w:top w:w="0" w:type="dxa"/>
            <w:left w:w="108" w:type="dxa"/>
            <w:bottom w:w="0" w:type="dxa"/>
            <w:right w:w="108" w:type="dxa"/>
          </w:tblCellMar>
        </w:tblPrEx>
        <w:trPr>
          <w:trHeight w:val="629"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1.3.3</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最高限价</w:t>
            </w:r>
          </w:p>
        </w:tc>
        <w:tc>
          <w:tcPr>
            <w:tcW w:w="6120"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宋体" w:hAnsi="宋体" w:cs="宋体"/>
                <w:szCs w:val="21"/>
              </w:rPr>
            </w:pPr>
            <w:r>
              <w:rPr>
                <w:rFonts w:hint="eastAsia" w:ascii="宋体" w:hAnsi="宋体" w:cs="宋体"/>
                <w:b/>
                <w:color w:val="000000"/>
                <w:szCs w:val="21"/>
              </w:rPr>
              <w:t>本项目采购限价2.2万元</w:t>
            </w:r>
            <w:r>
              <w:rPr>
                <w:rFonts w:hint="eastAsia" w:ascii="宋体" w:hAnsi="宋体" w:cs="宋体"/>
                <w:b/>
                <w:color w:val="000000"/>
                <w:szCs w:val="21"/>
              </w:rPr>
              <w:t>，超过本限价报价视为无效报价</w:t>
            </w:r>
            <w:r>
              <w:rPr>
                <w:rFonts w:hint="eastAsia" w:ascii="宋体" w:hAnsi="宋体" w:cs="宋体"/>
                <w:color w:val="000000"/>
                <w:szCs w:val="21"/>
              </w:rPr>
              <w:t>。</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1.4.1</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资格要求</w:t>
            </w:r>
          </w:p>
        </w:tc>
        <w:tc>
          <w:tcPr>
            <w:tcW w:w="6120"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宋体" w:hAnsi="宋体" w:cs="宋体"/>
                <w:szCs w:val="21"/>
              </w:rPr>
            </w:pPr>
            <w:r>
              <w:rPr>
                <w:rFonts w:hint="eastAsia" w:ascii="宋体" w:hAnsi="宋体" w:cs="宋体"/>
                <w:szCs w:val="21"/>
              </w:rPr>
              <w:t>同采购公告</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1.4.1（2）</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财务状况</w:t>
            </w:r>
          </w:p>
        </w:tc>
        <w:tc>
          <w:tcPr>
            <w:tcW w:w="6120"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宋体" w:hAnsi="宋体" w:cs="宋体"/>
                <w:szCs w:val="21"/>
              </w:rPr>
            </w:pPr>
            <w:r>
              <w:rPr>
                <w:rFonts w:hint="eastAsia" w:ascii="宋体" w:hAnsi="宋体" w:cs="宋体"/>
                <w:snapToGrid w:val="0"/>
                <w:kern w:val="0"/>
                <w:szCs w:val="21"/>
              </w:rPr>
              <w:t>提供</w:t>
            </w:r>
            <w:r>
              <w:rPr>
                <w:rFonts w:ascii="宋体" w:hAnsi="宋体" w:cs="宋体"/>
                <w:snapToGrid w:val="0"/>
                <w:kern w:val="0"/>
                <w:szCs w:val="21"/>
              </w:rPr>
              <w:t>201</w:t>
            </w:r>
            <w:r>
              <w:rPr>
                <w:rFonts w:hint="eastAsia" w:ascii="宋体" w:hAnsi="宋体" w:cs="宋体"/>
                <w:snapToGrid w:val="0"/>
                <w:kern w:val="0"/>
                <w:szCs w:val="21"/>
              </w:rPr>
              <w:t>9</w:t>
            </w:r>
            <w:r>
              <w:rPr>
                <w:rFonts w:ascii="宋体" w:hAnsi="宋体" w:cs="宋体"/>
                <w:snapToGrid w:val="0"/>
                <w:kern w:val="0"/>
                <w:szCs w:val="21"/>
              </w:rPr>
              <w:t>年度、20</w:t>
            </w:r>
            <w:r>
              <w:rPr>
                <w:rFonts w:hint="eastAsia" w:ascii="宋体" w:hAnsi="宋体" w:cs="宋体"/>
                <w:snapToGrid w:val="0"/>
                <w:kern w:val="0"/>
                <w:szCs w:val="21"/>
              </w:rPr>
              <w:t>20</w:t>
            </w:r>
            <w:r>
              <w:rPr>
                <w:rFonts w:ascii="宋体" w:hAnsi="宋体" w:cs="宋体"/>
                <w:snapToGrid w:val="0"/>
                <w:kern w:val="0"/>
                <w:szCs w:val="21"/>
              </w:rPr>
              <w:t>年度</w:t>
            </w:r>
            <w:r>
              <w:rPr>
                <w:rFonts w:hint="eastAsia" w:ascii="宋体" w:hAnsi="宋体" w:cs="宋体"/>
                <w:snapToGrid w:val="0"/>
                <w:kern w:val="0"/>
                <w:szCs w:val="21"/>
              </w:rPr>
              <w:t>、2021年度经会计师事务所审计的财务审计报告。</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1.4.1（3）</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color w:val="000000"/>
                <w:szCs w:val="21"/>
              </w:rPr>
              <w:t>近年完成的类似业绩情况的时间要求</w:t>
            </w:r>
          </w:p>
        </w:tc>
        <w:tc>
          <w:tcPr>
            <w:tcW w:w="6120"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宋体" w:hAnsi="宋体" w:cs="宋体"/>
                <w:szCs w:val="21"/>
              </w:rPr>
            </w:pPr>
            <w:r>
              <w:rPr>
                <w:rFonts w:hint="eastAsia" w:ascii="宋体" w:hAnsi="宋体" w:cs="宋体"/>
                <w:szCs w:val="21"/>
                <w:u w:val="single"/>
              </w:rPr>
              <w:t>2019</w:t>
            </w:r>
            <w:r>
              <w:rPr>
                <w:rFonts w:hint="eastAsia" w:ascii="宋体" w:hAnsi="宋体" w:cs="宋体"/>
                <w:szCs w:val="21"/>
              </w:rPr>
              <w:t>年</w:t>
            </w:r>
            <w:r>
              <w:rPr>
                <w:rFonts w:hint="eastAsia" w:ascii="宋体" w:hAnsi="宋体" w:cs="宋体"/>
                <w:szCs w:val="21"/>
                <w:u w:val="single"/>
              </w:rPr>
              <w:t>1</w:t>
            </w:r>
            <w:r>
              <w:rPr>
                <w:rFonts w:hint="eastAsia" w:ascii="宋体" w:hAnsi="宋体" w:cs="宋体"/>
                <w:szCs w:val="21"/>
              </w:rPr>
              <w:t>月</w:t>
            </w:r>
            <w:r>
              <w:rPr>
                <w:rFonts w:hint="eastAsia" w:ascii="宋体" w:hAnsi="宋体" w:cs="宋体"/>
                <w:szCs w:val="21"/>
                <w:u w:val="single"/>
              </w:rPr>
              <w:t>1</w:t>
            </w:r>
            <w:r>
              <w:rPr>
                <w:rFonts w:hint="eastAsia" w:ascii="宋体" w:hAnsi="宋体" w:cs="宋体"/>
                <w:szCs w:val="21"/>
              </w:rPr>
              <w:t>日</w:t>
            </w:r>
            <w:r>
              <w:rPr>
                <w:rFonts w:hint="eastAsia" w:ascii="宋体" w:hAnsi="宋体" w:cs="宋体"/>
                <w:color w:val="000000"/>
                <w:szCs w:val="21"/>
              </w:rPr>
              <w:t>（含）</w:t>
            </w:r>
            <w:r>
              <w:rPr>
                <w:rFonts w:hint="eastAsia" w:ascii="宋体" w:hAnsi="宋体" w:cs="宋体"/>
                <w:szCs w:val="21"/>
              </w:rPr>
              <w:t>至今</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1.4.1（4）</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color w:val="000000"/>
                <w:szCs w:val="21"/>
              </w:rPr>
              <w:t>近年发生的诉讼及仲裁情况的时间要求</w:t>
            </w:r>
          </w:p>
        </w:tc>
        <w:tc>
          <w:tcPr>
            <w:tcW w:w="6120"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宋体" w:hAnsi="宋体" w:cs="宋体"/>
                <w:szCs w:val="21"/>
              </w:rPr>
            </w:pPr>
            <w:r>
              <w:rPr>
                <w:rFonts w:hint="eastAsia" w:ascii="宋体" w:hAnsi="宋体" w:cs="宋体"/>
                <w:szCs w:val="21"/>
                <w:u w:val="single"/>
              </w:rPr>
              <w:t>2019</w:t>
            </w:r>
            <w:r>
              <w:rPr>
                <w:rFonts w:hint="eastAsia" w:ascii="宋体" w:hAnsi="宋体" w:cs="宋体"/>
                <w:szCs w:val="21"/>
              </w:rPr>
              <w:t>年</w:t>
            </w:r>
            <w:r>
              <w:rPr>
                <w:rFonts w:hint="eastAsia" w:ascii="宋体" w:hAnsi="宋体" w:cs="宋体"/>
                <w:szCs w:val="21"/>
                <w:u w:val="single"/>
              </w:rPr>
              <w:t>1</w:t>
            </w:r>
            <w:r>
              <w:rPr>
                <w:rFonts w:hint="eastAsia" w:ascii="宋体" w:hAnsi="宋体" w:cs="宋体"/>
                <w:szCs w:val="21"/>
              </w:rPr>
              <w:t>月</w:t>
            </w:r>
            <w:r>
              <w:rPr>
                <w:rFonts w:hint="eastAsia" w:ascii="宋体" w:hAnsi="宋体" w:cs="宋体"/>
                <w:szCs w:val="21"/>
                <w:u w:val="single"/>
              </w:rPr>
              <w:t>1</w:t>
            </w:r>
            <w:r>
              <w:rPr>
                <w:rFonts w:hint="eastAsia" w:ascii="宋体" w:hAnsi="宋体" w:cs="宋体"/>
                <w:szCs w:val="21"/>
              </w:rPr>
              <w:t>日</w:t>
            </w:r>
            <w:r>
              <w:rPr>
                <w:rFonts w:hint="eastAsia" w:ascii="宋体" w:hAnsi="宋体" w:cs="宋体"/>
                <w:color w:val="000000"/>
                <w:szCs w:val="21"/>
              </w:rPr>
              <w:t>（含）</w:t>
            </w:r>
            <w:r>
              <w:rPr>
                <w:rFonts w:hint="eastAsia" w:ascii="宋体" w:hAnsi="宋体" w:cs="宋体"/>
                <w:szCs w:val="21"/>
              </w:rPr>
              <w:t>至今情况：无</w:t>
            </w:r>
          </w:p>
        </w:tc>
      </w:tr>
      <w:tr>
        <w:tblPrEx>
          <w:tblCellMar>
            <w:top w:w="0" w:type="dxa"/>
            <w:left w:w="108" w:type="dxa"/>
            <w:bottom w:w="0" w:type="dxa"/>
            <w:right w:w="108" w:type="dxa"/>
          </w:tblCellMar>
        </w:tblPrEx>
        <w:trPr>
          <w:trHeight w:val="43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1.4.2</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其他要求</w:t>
            </w:r>
          </w:p>
        </w:tc>
        <w:tc>
          <w:tcPr>
            <w:tcW w:w="6120" w:type="dxa"/>
            <w:tcBorders>
              <w:top w:val="single" w:color="auto" w:sz="4" w:space="0"/>
              <w:left w:val="single" w:color="auto" w:sz="4" w:space="0"/>
              <w:bottom w:val="single" w:color="auto" w:sz="4" w:space="0"/>
              <w:right w:val="single" w:color="auto" w:sz="4" w:space="0"/>
            </w:tcBorders>
            <w:vAlign w:val="center"/>
          </w:tcPr>
          <w:p>
            <w:pPr>
              <w:pStyle w:val="12"/>
              <w:tabs>
                <w:tab w:val="left" w:pos="312"/>
              </w:tabs>
              <w:topLinePunct/>
              <w:adjustRightInd w:val="0"/>
              <w:snapToGrid w:val="0"/>
              <w:spacing w:line="360" w:lineRule="auto"/>
              <w:jc w:val="left"/>
              <w:rPr>
                <w:rFonts w:hAnsi="宋体" w:cs="宋体"/>
                <w:sz w:val="21"/>
                <w:szCs w:val="21"/>
              </w:rPr>
            </w:pPr>
            <w:r>
              <w:rPr>
                <w:rFonts w:hint="eastAsia" w:hAnsi="宋体" w:cs="宋体"/>
                <w:sz w:val="21"/>
                <w:szCs w:val="21"/>
              </w:rPr>
              <w:t>1.服务商的负责人为同一人或者存在控股、管理关系的不同单位，不得参加同一标段询比或者未划分标段的同一采购项目询比。</w:t>
            </w:r>
          </w:p>
          <w:p>
            <w:pPr>
              <w:pStyle w:val="12"/>
              <w:topLinePunct/>
              <w:adjustRightInd w:val="0"/>
              <w:snapToGrid w:val="0"/>
              <w:spacing w:line="360" w:lineRule="auto"/>
              <w:jc w:val="left"/>
              <w:rPr>
                <w:rFonts w:hAnsi="宋体" w:cs="宋体"/>
                <w:sz w:val="21"/>
                <w:szCs w:val="21"/>
              </w:rPr>
            </w:pPr>
            <w:r>
              <w:rPr>
                <w:rFonts w:hint="eastAsia" w:hAnsi="宋体" w:cs="宋体"/>
                <w:sz w:val="21"/>
                <w:szCs w:val="21"/>
              </w:rPr>
              <w:t>2.不接受联合体参与。</w:t>
            </w:r>
          </w:p>
        </w:tc>
      </w:tr>
      <w:tr>
        <w:tblPrEx>
          <w:tblCellMar>
            <w:top w:w="0" w:type="dxa"/>
            <w:left w:w="108" w:type="dxa"/>
            <w:bottom w:w="0" w:type="dxa"/>
            <w:right w:w="108" w:type="dxa"/>
          </w:tblCellMar>
        </w:tblPrEx>
        <w:trPr>
          <w:trHeight w:val="43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费用承担</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服务商准备和参加询比活动发生的费用自理</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1.9</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踏勘现场</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不组织</w:t>
            </w:r>
          </w:p>
        </w:tc>
      </w:tr>
      <w:tr>
        <w:tblPrEx>
          <w:tblCellMar>
            <w:top w:w="0" w:type="dxa"/>
            <w:left w:w="108" w:type="dxa"/>
            <w:bottom w:w="0" w:type="dxa"/>
            <w:right w:w="108" w:type="dxa"/>
          </w:tblCellMar>
        </w:tblPrEx>
        <w:trPr>
          <w:trHeight w:val="43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1.10</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询比预备会</w:t>
            </w:r>
          </w:p>
        </w:tc>
        <w:tc>
          <w:tcPr>
            <w:tcW w:w="6120" w:type="dxa"/>
            <w:tcBorders>
              <w:top w:val="single" w:color="auto" w:sz="4" w:space="0"/>
              <w:left w:val="single" w:color="auto" w:sz="4" w:space="0"/>
              <w:bottom w:val="single" w:color="auto" w:sz="4" w:space="0"/>
              <w:right w:val="single" w:color="auto" w:sz="4" w:space="0"/>
            </w:tcBorders>
            <w:vAlign w:val="center"/>
          </w:tcPr>
          <w:p>
            <w:pPr>
              <w:pStyle w:val="12"/>
              <w:topLinePunct/>
              <w:adjustRightInd w:val="0"/>
              <w:snapToGrid w:val="0"/>
              <w:rPr>
                <w:rFonts w:hAnsi="宋体" w:cs="宋体"/>
                <w:sz w:val="21"/>
                <w:szCs w:val="21"/>
              </w:rPr>
            </w:pPr>
            <w:r>
              <w:rPr>
                <w:rFonts w:hint="eastAsia" w:hAnsi="宋体" w:cs="宋体"/>
                <w:sz w:val="21"/>
                <w:szCs w:val="21"/>
              </w:rPr>
              <w:t>不召开</w:t>
            </w:r>
          </w:p>
        </w:tc>
      </w:tr>
      <w:tr>
        <w:tblPrEx>
          <w:tblCellMar>
            <w:top w:w="0" w:type="dxa"/>
            <w:left w:w="108" w:type="dxa"/>
            <w:bottom w:w="0" w:type="dxa"/>
            <w:right w:w="108" w:type="dxa"/>
          </w:tblCellMar>
        </w:tblPrEx>
        <w:trPr>
          <w:trHeight w:val="43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1.11</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分包</w:t>
            </w:r>
          </w:p>
        </w:tc>
        <w:tc>
          <w:tcPr>
            <w:tcW w:w="61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不允许</w:t>
            </w:r>
          </w:p>
        </w:tc>
      </w:tr>
      <w:tr>
        <w:tblPrEx>
          <w:tblCellMar>
            <w:top w:w="0" w:type="dxa"/>
            <w:left w:w="108" w:type="dxa"/>
            <w:bottom w:w="0" w:type="dxa"/>
            <w:right w:w="108" w:type="dxa"/>
          </w:tblCellMar>
        </w:tblPrEx>
        <w:trPr>
          <w:trHeight w:val="43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1.12</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偏离</w:t>
            </w:r>
          </w:p>
        </w:tc>
        <w:tc>
          <w:tcPr>
            <w:tcW w:w="6120" w:type="dxa"/>
            <w:tcBorders>
              <w:top w:val="single" w:color="auto" w:sz="4" w:space="0"/>
              <w:left w:val="single" w:color="auto" w:sz="4" w:space="0"/>
              <w:bottom w:val="single" w:color="auto" w:sz="4" w:space="0"/>
              <w:right w:val="single" w:color="auto" w:sz="4" w:space="0"/>
            </w:tcBorders>
            <w:vAlign w:val="center"/>
          </w:tcPr>
          <w:p>
            <w:pPr>
              <w:pStyle w:val="12"/>
              <w:topLinePunct/>
              <w:adjustRightInd w:val="0"/>
              <w:snapToGrid w:val="0"/>
              <w:rPr>
                <w:rFonts w:hAnsi="宋体" w:cs="宋体"/>
                <w:sz w:val="21"/>
                <w:szCs w:val="21"/>
              </w:rPr>
            </w:pPr>
            <w:r>
              <w:rPr>
                <w:rFonts w:hint="eastAsia" w:hAnsi="宋体" w:cs="宋体"/>
                <w:sz w:val="21"/>
                <w:szCs w:val="21"/>
              </w:rPr>
              <w:t>不允许</w:t>
            </w:r>
          </w:p>
        </w:tc>
      </w:tr>
      <w:tr>
        <w:tblPrEx>
          <w:tblCellMar>
            <w:top w:w="0" w:type="dxa"/>
            <w:left w:w="108" w:type="dxa"/>
            <w:bottom w:w="0" w:type="dxa"/>
            <w:right w:w="108" w:type="dxa"/>
          </w:tblCellMar>
        </w:tblPrEx>
        <w:trPr>
          <w:trHeight w:val="43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1.13</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资格审查</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资格后审</w:t>
            </w:r>
          </w:p>
        </w:tc>
      </w:tr>
      <w:tr>
        <w:tblPrEx>
          <w:tblCellMar>
            <w:top w:w="0" w:type="dxa"/>
            <w:left w:w="108" w:type="dxa"/>
            <w:bottom w:w="0" w:type="dxa"/>
            <w:right w:w="108" w:type="dxa"/>
          </w:tblCellMar>
        </w:tblPrEx>
        <w:trPr>
          <w:trHeight w:val="43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ascii="宋体" w:hAnsi="宋体" w:cs="宋体"/>
                <w:szCs w:val="21"/>
              </w:rPr>
              <w:t>2.2.1</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color w:val="000000"/>
                <w:szCs w:val="21"/>
              </w:rPr>
              <w:t>服务商要求澄清采购文件的截止时间</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43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ascii="宋体" w:hAnsi="宋体" w:cs="宋体"/>
                <w:szCs w:val="21"/>
              </w:rPr>
              <w:t>2.2.2</w:t>
            </w:r>
          </w:p>
          <w:p>
            <w:pPr>
              <w:adjustRightInd w:val="0"/>
              <w:snapToGrid w:val="0"/>
              <w:jc w:val="center"/>
              <w:rPr>
                <w:rFonts w:ascii="宋体" w:hAnsi="宋体" w:cs="宋体"/>
                <w:b/>
                <w:szCs w:val="21"/>
              </w:rPr>
            </w:pPr>
            <w:r>
              <w:rPr>
                <w:rFonts w:ascii="宋体" w:hAnsi="宋体" w:cs="宋体"/>
                <w:szCs w:val="21"/>
              </w:rPr>
              <w:t>2.3.1</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color w:val="000000"/>
                <w:kern w:val="0"/>
                <w:szCs w:val="21"/>
              </w:rPr>
              <w:t>采购人澄清或修改采购文件</w:t>
            </w:r>
            <w:r>
              <w:rPr>
                <w:rFonts w:hint="eastAsia" w:ascii="宋体" w:hAnsi="宋体" w:cs="宋体"/>
                <w:szCs w:val="21"/>
              </w:rPr>
              <w:t>的时间</w:t>
            </w:r>
          </w:p>
        </w:tc>
        <w:tc>
          <w:tcPr>
            <w:tcW w:w="61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43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ascii="宋体" w:hAnsi="宋体" w:cs="宋体"/>
                <w:szCs w:val="21"/>
              </w:rPr>
              <w:t>2.2.3</w:t>
            </w:r>
          </w:p>
          <w:p>
            <w:pPr>
              <w:adjustRightInd w:val="0"/>
              <w:snapToGrid w:val="0"/>
              <w:jc w:val="center"/>
              <w:rPr>
                <w:rFonts w:ascii="宋体" w:hAnsi="宋体" w:cs="宋体"/>
                <w:b/>
                <w:szCs w:val="21"/>
              </w:rPr>
            </w:pPr>
            <w:r>
              <w:rPr>
                <w:rFonts w:ascii="宋体" w:hAnsi="宋体" w:cs="宋体"/>
                <w:szCs w:val="21"/>
              </w:rPr>
              <w:t>2.3.2</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服务商确认收到采购文件澄清或修改的时间</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3.3.1</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响应有效期</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从</w:t>
            </w:r>
            <w:r>
              <w:rPr>
                <w:rFonts w:hint="eastAsia" w:ascii="宋体" w:hAnsi="宋体"/>
                <w:szCs w:val="21"/>
              </w:rPr>
              <w:t>响应文件递交截止时间</w:t>
            </w:r>
            <w:r>
              <w:rPr>
                <w:rFonts w:hint="eastAsia" w:ascii="宋体" w:hAnsi="宋体" w:cs="宋体"/>
                <w:szCs w:val="21"/>
              </w:rPr>
              <w:t>起</w:t>
            </w:r>
            <w:r>
              <w:rPr>
                <w:rFonts w:hint="eastAsia" w:ascii="宋体" w:hAnsi="宋体" w:cs="宋体"/>
                <w:szCs w:val="21"/>
                <w:u w:val="single"/>
              </w:rPr>
              <w:t>90</w:t>
            </w:r>
            <w:r>
              <w:rPr>
                <w:rFonts w:hint="eastAsia" w:ascii="宋体" w:hAnsi="宋体" w:cs="宋体"/>
                <w:szCs w:val="21"/>
              </w:rPr>
              <w:t>天</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3.4.1</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响应保证金</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响应保证金的金额：</w:t>
            </w:r>
            <w:r>
              <w:rPr>
                <w:rFonts w:ascii="宋体" w:hAnsi="宋体" w:cs="宋体"/>
                <w:szCs w:val="21"/>
              </w:rPr>
              <w:t xml:space="preserve"> </w:t>
            </w:r>
            <w:r>
              <w:rPr>
                <w:rFonts w:hint="eastAsia" w:ascii="宋体" w:hAnsi="宋体" w:cs="宋体"/>
                <w:szCs w:val="21"/>
              </w:rPr>
              <w:t>无</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3.5</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是否允许递交</w:t>
            </w:r>
          </w:p>
          <w:p>
            <w:pPr>
              <w:adjustRightInd w:val="0"/>
              <w:snapToGrid w:val="0"/>
              <w:jc w:val="center"/>
              <w:rPr>
                <w:rFonts w:ascii="宋体" w:hAnsi="宋体" w:cs="宋体"/>
                <w:szCs w:val="21"/>
              </w:rPr>
            </w:pPr>
            <w:r>
              <w:rPr>
                <w:rFonts w:hint="eastAsia" w:ascii="宋体" w:hAnsi="宋体" w:cs="宋体"/>
                <w:szCs w:val="21"/>
              </w:rPr>
              <w:t>备选响应方案</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不允许</w:t>
            </w:r>
          </w:p>
        </w:tc>
      </w:tr>
      <w:tr>
        <w:tblPrEx>
          <w:tblCellMar>
            <w:top w:w="0" w:type="dxa"/>
            <w:left w:w="108" w:type="dxa"/>
            <w:bottom w:w="0" w:type="dxa"/>
            <w:right w:w="108" w:type="dxa"/>
          </w:tblCellMar>
        </w:tblPrEx>
        <w:trPr>
          <w:trHeight w:val="124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3.6.3</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签字或盖章要求</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响应文件应用不褪色的材料书写或打印，</w:t>
            </w:r>
            <w:r>
              <w:rPr>
                <w:rFonts w:hint="eastAsia" w:ascii="宋体" w:hAnsi="宋体"/>
                <w:szCs w:val="21"/>
              </w:rPr>
              <w:t>并按采购文件要求签字盖章</w:t>
            </w:r>
            <w:r>
              <w:rPr>
                <w:rFonts w:hint="eastAsia" w:ascii="宋体" w:hAnsi="宋体" w:cs="宋体"/>
                <w:color w:val="FF0000"/>
                <w:szCs w:val="21"/>
              </w:rPr>
              <w:t>（除采购文件要求的签字盖章处，响应文件每页要求盖章）</w:t>
            </w:r>
            <w:r>
              <w:rPr>
                <w:rFonts w:hint="eastAsia" w:ascii="宋体" w:hAnsi="宋体"/>
                <w:szCs w:val="21"/>
              </w:rPr>
              <w:t>。</w:t>
            </w:r>
          </w:p>
        </w:tc>
      </w:tr>
      <w:tr>
        <w:tblPrEx>
          <w:tblCellMar>
            <w:top w:w="0" w:type="dxa"/>
            <w:left w:w="108" w:type="dxa"/>
            <w:bottom w:w="0" w:type="dxa"/>
            <w:right w:w="108" w:type="dxa"/>
          </w:tblCellMar>
        </w:tblPrEx>
        <w:trPr>
          <w:trHeight w:val="555"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ascii="宋体" w:hAnsi="宋体" w:cs="宋体"/>
                <w:szCs w:val="21"/>
              </w:rPr>
              <w:t>3.8.1</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响应文件份数</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r>
              <w:rPr>
                <w:rFonts w:hint="eastAsia" w:ascii="宋体" w:hAnsi="宋体" w:cs="宋体"/>
                <w:szCs w:val="21"/>
              </w:rPr>
              <w:t>书面响应文件1份正本，4份副本（U盘电子扫描件1份，与正本书面文件内容一致）</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ascii="宋体" w:hAnsi="宋体" w:cs="宋体"/>
                <w:szCs w:val="21"/>
              </w:rPr>
              <w:t>4.1.1</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响应文件密封</w:t>
            </w:r>
          </w:p>
        </w:tc>
        <w:tc>
          <w:tcPr>
            <w:tcW w:w="6120" w:type="dxa"/>
            <w:tcBorders>
              <w:top w:val="single" w:color="auto" w:sz="4" w:space="0"/>
              <w:left w:val="single" w:color="auto" w:sz="4" w:space="0"/>
              <w:bottom w:val="single" w:color="auto" w:sz="4" w:space="0"/>
              <w:right w:val="single" w:color="auto" w:sz="4" w:space="0"/>
            </w:tcBorders>
            <w:vAlign w:val="center"/>
          </w:tcPr>
          <w:p>
            <w:pPr>
              <w:tabs>
                <w:tab w:val="left" w:pos="252"/>
                <w:tab w:val="left" w:pos="990"/>
              </w:tabs>
              <w:adjustRightInd w:val="0"/>
              <w:snapToGrid w:val="0"/>
              <w:rPr>
                <w:rFonts w:ascii="宋体" w:hAnsi="宋体" w:cs="宋体"/>
                <w:szCs w:val="21"/>
              </w:rPr>
            </w:pPr>
            <w:r>
              <w:rPr>
                <w:rFonts w:hint="eastAsia" w:ascii="宋体" w:hAnsi="宋体" w:cs="宋体"/>
                <w:color w:val="000000"/>
                <w:szCs w:val="21"/>
              </w:rPr>
              <w:t>/</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4.1.2</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封套上应载明的信息</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4.2.1</w:t>
            </w:r>
          </w:p>
          <w:p>
            <w:pPr>
              <w:adjustRightInd w:val="0"/>
              <w:snapToGrid w:val="0"/>
              <w:jc w:val="center"/>
              <w:rPr>
                <w:rFonts w:ascii="宋体" w:hAnsi="宋体" w:cs="宋体"/>
                <w:szCs w:val="21"/>
              </w:rPr>
            </w:pPr>
            <w:r>
              <w:rPr>
                <w:rFonts w:hint="eastAsia" w:ascii="宋体" w:hAnsi="宋体" w:cs="宋体"/>
                <w:szCs w:val="21"/>
              </w:rPr>
              <w:t>4.2.2</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响应文件递交截止时间</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lang w:val="en-US" w:eastAsia="zh-CN"/>
              </w:rPr>
              <w:t>2022年7月14日12:00整</w:t>
            </w:r>
            <w:r>
              <w:rPr>
                <w:rFonts w:ascii="宋体" w:hAnsi="宋体" w:cs="宋体"/>
                <w:szCs w:val="21"/>
              </w:rPr>
              <w:t>（北京时间）</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4.2.3</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是否退还询比文件</w:t>
            </w:r>
          </w:p>
        </w:tc>
        <w:tc>
          <w:tcPr>
            <w:tcW w:w="6120" w:type="dxa"/>
            <w:tcBorders>
              <w:top w:val="single" w:color="auto" w:sz="4" w:space="0"/>
              <w:left w:val="single" w:color="auto" w:sz="4" w:space="0"/>
              <w:bottom w:val="single" w:color="auto" w:sz="4" w:space="0"/>
              <w:right w:val="single" w:color="auto" w:sz="4" w:space="0"/>
            </w:tcBorders>
            <w:vAlign w:val="center"/>
          </w:tcPr>
          <w:p>
            <w:pPr>
              <w:pStyle w:val="12"/>
              <w:topLinePunct/>
              <w:adjustRightInd w:val="0"/>
              <w:snapToGrid w:val="0"/>
              <w:rPr>
                <w:rFonts w:hAnsi="宋体" w:cs="宋体"/>
                <w:sz w:val="21"/>
                <w:szCs w:val="21"/>
              </w:rPr>
            </w:pPr>
            <w:r>
              <w:rPr>
                <w:rFonts w:hint="eastAsia" w:hAnsi="宋体" w:cs="宋体"/>
                <w:sz w:val="21"/>
                <w:szCs w:val="21"/>
              </w:rPr>
              <w:t>否</w:t>
            </w:r>
          </w:p>
        </w:tc>
      </w:tr>
      <w:tr>
        <w:tblPrEx>
          <w:tblCellMar>
            <w:top w:w="0" w:type="dxa"/>
            <w:left w:w="108" w:type="dxa"/>
            <w:bottom w:w="0" w:type="dxa"/>
            <w:right w:w="108" w:type="dxa"/>
          </w:tblCellMar>
        </w:tblPrEx>
        <w:trPr>
          <w:trHeight w:val="680"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4.2.4</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响应文件不予受理的情况</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10" w:hanging="210" w:hangingChars="100"/>
              <w:rPr>
                <w:rFonts w:ascii="宋体" w:hAnsi="宋体" w:cs="宋体"/>
                <w:szCs w:val="21"/>
              </w:rPr>
            </w:pPr>
            <w:r>
              <w:rPr>
                <w:rFonts w:hint="eastAsia" w:ascii="宋体" w:hAnsi="宋体" w:cs="宋体"/>
                <w:szCs w:val="21"/>
              </w:rPr>
              <w:t>（1）响应文件逾期</w:t>
            </w:r>
            <w:r>
              <w:rPr>
                <w:rFonts w:hint="eastAsia" w:ascii="宋体" w:hAnsi="宋体" w:cs="宋体"/>
                <w:szCs w:val="21"/>
                <w:lang w:val="en-US" w:eastAsia="zh-CN"/>
              </w:rPr>
              <w:t>递交</w:t>
            </w:r>
            <w:r>
              <w:rPr>
                <w:rFonts w:hint="eastAsia" w:ascii="宋体" w:hAnsi="宋体" w:cs="宋体"/>
                <w:szCs w:val="21"/>
              </w:rPr>
              <w:t>的；</w:t>
            </w:r>
          </w:p>
          <w:p>
            <w:pPr>
              <w:adjustRightInd w:val="0"/>
              <w:snapToGrid w:val="0"/>
              <w:ind w:left="210" w:hanging="210" w:hangingChars="100"/>
              <w:rPr>
                <w:rFonts w:ascii="宋体" w:hAnsi="宋体" w:cs="宋体"/>
                <w:szCs w:val="21"/>
              </w:rPr>
            </w:pPr>
          </w:p>
        </w:tc>
      </w:tr>
      <w:tr>
        <w:tblPrEx>
          <w:tblCellMar>
            <w:top w:w="0" w:type="dxa"/>
            <w:left w:w="108" w:type="dxa"/>
            <w:bottom w:w="0" w:type="dxa"/>
            <w:right w:w="108" w:type="dxa"/>
          </w:tblCellMar>
        </w:tblPrEx>
        <w:trPr>
          <w:trHeight w:val="680"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5.1</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开启响应文件时间和地点</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开启响应文件时间：</w:t>
            </w:r>
            <w:r>
              <w:rPr>
                <w:rFonts w:hint="eastAsia" w:ascii="宋体" w:hAnsi="宋体" w:cs="宋体"/>
                <w:szCs w:val="21"/>
                <w:lang w:val="en-US" w:eastAsia="zh-CN"/>
              </w:rPr>
              <w:t>2022年7月15日09:30分</w:t>
            </w:r>
          </w:p>
          <w:p>
            <w:pPr>
              <w:adjustRightInd w:val="0"/>
              <w:snapToGrid w:val="0"/>
              <w:rPr>
                <w:rFonts w:ascii="宋体" w:hAnsi="宋体" w:cs="宋体"/>
                <w:szCs w:val="21"/>
              </w:rPr>
            </w:pPr>
            <w:r>
              <w:rPr>
                <w:rFonts w:hint="eastAsia" w:ascii="宋体" w:hAnsi="宋体" w:cs="宋体"/>
                <w:szCs w:val="21"/>
              </w:rPr>
              <w:t>开启响应文件地点：</w:t>
            </w:r>
            <w:r>
              <w:rPr>
                <w:rFonts w:hint="eastAsia" w:ascii="宋体" w:hAnsi="宋体" w:cs="宋体"/>
                <w:szCs w:val="21"/>
                <w:lang w:val="en-US" w:eastAsia="zh-CN"/>
              </w:rPr>
              <w:t>线上开启，腾讯会议（会议ID：375-777-264）</w:t>
            </w:r>
          </w:p>
        </w:tc>
      </w:tr>
      <w:tr>
        <w:tblPrEx>
          <w:tblCellMar>
            <w:top w:w="0" w:type="dxa"/>
            <w:left w:w="108" w:type="dxa"/>
            <w:bottom w:w="0" w:type="dxa"/>
            <w:right w:w="108" w:type="dxa"/>
          </w:tblCellMar>
        </w:tblPrEx>
        <w:trPr>
          <w:trHeight w:val="680"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5.2</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szCs w:val="21"/>
              </w:rPr>
              <w:t>服务商参加询比的顺序</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响应文件递交的逆顺序</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6.1.1</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cs="宋体"/>
                <w:szCs w:val="21"/>
              </w:rPr>
              <w:t>询比小组的组建</w:t>
            </w:r>
          </w:p>
        </w:tc>
        <w:tc>
          <w:tcPr>
            <w:tcW w:w="61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sz w:val="24"/>
                <w:szCs w:val="24"/>
                <w:lang w:val="en-US" w:eastAsia="zh-CN"/>
              </w:rPr>
              <w:t>根据《中节能生态环境科技有限公司非招标采购实施细则（修订版）》第十八条规定：采购预算金额低于</w:t>
            </w:r>
            <w:r>
              <w:rPr>
                <w:rFonts w:hint="default" w:ascii="宋体" w:hAnsi="宋体"/>
                <w:sz w:val="24"/>
                <w:szCs w:val="24"/>
                <w:lang w:val="en-US" w:eastAsia="zh-CN"/>
              </w:rPr>
              <w:t>20</w:t>
            </w:r>
            <w:r>
              <w:rPr>
                <w:rFonts w:hint="eastAsia" w:ascii="宋体" w:hAnsi="宋体"/>
                <w:sz w:val="24"/>
                <w:szCs w:val="24"/>
                <w:lang w:val="en-US" w:eastAsia="zh-CN"/>
              </w:rPr>
              <w:t>万元的非招标采购项目，可以不组建采购小组。采购预算金额在</w:t>
            </w:r>
            <w:r>
              <w:rPr>
                <w:rFonts w:hint="default" w:ascii="宋体" w:hAnsi="宋体"/>
                <w:sz w:val="24"/>
                <w:szCs w:val="24"/>
                <w:lang w:val="en-US" w:eastAsia="zh-CN"/>
              </w:rPr>
              <w:t>20</w:t>
            </w:r>
            <w:r>
              <w:rPr>
                <w:rFonts w:hint="eastAsia" w:ascii="宋体" w:hAnsi="宋体"/>
                <w:sz w:val="24"/>
                <w:szCs w:val="24"/>
                <w:lang w:val="en-US" w:eastAsia="zh-CN"/>
              </w:rPr>
              <w:t>万元及以上的非招标采购项目，应组建采购小组负责评审工作，小组成员人数应为三人及以上单数。</w:t>
            </w:r>
          </w:p>
        </w:tc>
      </w:tr>
      <w:tr>
        <w:tblPrEx>
          <w:tblCellMar>
            <w:top w:w="0" w:type="dxa"/>
            <w:left w:w="108" w:type="dxa"/>
            <w:bottom w:w="0" w:type="dxa"/>
            <w:right w:w="108" w:type="dxa"/>
          </w:tblCellMar>
        </w:tblPrEx>
        <w:trPr>
          <w:trHeight w:val="680"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7.1</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cs="宋体"/>
                <w:szCs w:val="21"/>
              </w:rPr>
              <w:t>是否授权询比小组确定成交人</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ascii="宋体" w:hAnsi="宋体" w:cs="宋体"/>
                <w:szCs w:val="21"/>
              </w:rPr>
              <w:t>7.6</w:t>
            </w:r>
          </w:p>
        </w:tc>
        <w:tc>
          <w:tcPr>
            <w:tcW w:w="21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color w:val="000000"/>
                <w:szCs w:val="21"/>
              </w:rPr>
              <w:t>履约担保</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szCs w:val="21"/>
              </w:rPr>
            </w:pPr>
            <w:r>
              <w:rPr>
                <w:rFonts w:hint="eastAsia" w:ascii="宋体" w:hAnsi="宋体" w:cs="宋体"/>
                <w:color w:val="000000"/>
                <w:szCs w:val="21"/>
              </w:rPr>
              <w:t>履约保证金：</w:t>
            </w:r>
            <w:r>
              <w:rPr>
                <w:rFonts w:hint="eastAsia" w:ascii="宋体" w:hAnsi="宋体" w:cs="宋体"/>
                <w:b/>
                <w:color w:val="0070C0"/>
                <w:szCs w:val="21"/>
              </w:rPr>
              <w:t>/</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7.7</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eastAsia="宋体" w:cs="宋体"/>
                <w:color w:val="000000"/>
                <w:szCs w:val="21"/>
              </w:rPr>
              <w:t>付款方式</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color w:val="FF0000"/>
              </w:rPr>
            </w:pPr>
            <w:r>
              <w:rPr>
                <w:b/>
                <w:color w:val="FF0000"/>
              </w:rPr>
              <w:t>提交经确认的成果报告后</w:t>
            </w:r>
            <w:r>
              <w:rPr>
                <w:rFonts w:hint="eastAsia"/>
                <w:b/>
                <w:color w:val="FF0000"/>
              </w:rPr>
              <w:t>10个工作日一次性支付。（对公转账）</w:t>
            </w:r>
          </w:p>
        </w:tc>
      </w:tr>
      <w:tr>
        <w:tblPrEx>
          <w:tblCellMar>
            <w:top w:w="0" w:type="dxa"/>
            <w:left w:w="108" w:type="dxa"/>
            <w:bottom w:w="0" w:type="dxa"/>
            <w:right w:w="108" w:type="dxa"/>
          </w:tblCellMar>
        </w:tblPrEx>
        <w:trPr>
          <w:trHeight w:val="454" w:hRule="atLeast"/>
        </w:trPr>
        <w:tc>
          <w:tcPr>
            <w:tcW w:w="1165"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10</w:t>
            </w:r>
          </w:p>
        </w:tc>
        <w:tc>
          <w:tcPr>
            <w:tcW w:w="218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ascii="宋体" w:hAnsi="宋体" w:cs="宋体"/>
                <w:szCs w:val="21"/>
              </w:rPr>
            </w:pPr>
            <w:r>
              <w:rPr>
                <w:rFonts w:hint="eastAsia" w:ascii="宋体" w:hAnsi="宋体" w:cs="宋体"/>
                <w:color w:val="000000"/>
                <w:szCs w:val="21"/>
              </w:rPr>
              <w:t>是否采用电子采购</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ascii="宋体" w:hAnsi="宋体" w:cs="宋体"/>
                <w:szCs w:val="21"/>
              </w:rPr>
            </w:pPr>
            <w:r>
              <w:rPr>
                <w:rFonts w:hint="eastAsia" w:ascii="宋体" w:hAnsi="宋体" w:cs="宋体"/>
                <w:color w:val="000000"/>
                <w:szCs w:val="21"/>
              </w:rPr>
              <w:t>是</w:t>
            </w:r>
          </w:p>
        </w:tc>
      </w:tr>
      <w:tr>
        <w:tblPrEx>
          <w:tblCellMar>
            <w:top w:w="0" w:type="dxa"/>
            <w:left w:w="108" w:type="dxa"/>
            <w:bottom w:w="0" w:type="dxa"/>
            <w:right w:w="108" w:type="dxa"/>
          </w:tblCellMar>
        </w:tblPrEx>
        <w:trPr>
          <w:trHeight w:val="454" w:hRule="atLeast"/>
        </w:trPr>
        <w:tc>
          <w:tcPr>
            <w:tcW w:w="1165"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szCs w:val="21"/>
              </w:rPr>
            </w:pPr>
            <w:r>
              <w:rPr>
                <w:rFonts w:hint="eastAsia" w:ascii="宋体" w:hAnsi="宋体" w:cs="宋体"/>
                <w:color w:val="000000"/>
                <w:kern w:val="0"/>
                <w:szCs w:val="21"/>
              </w:rPr>
              <w:t>电子响应文件加密要求</w:t>
            </w:r>
          </w:p>
        </w:tc>
        <w:tc>
          <w:tcPr>
            <w:tcW w:w="612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szCs w:val="21"/>
              </w:rPr>
            </w:pPr>
            <w:r>
              <w:rPr>
                <w:rFonts w:hint="eastAsia" w:ascii="宋体" w:hAnsi="宋体" w:cs="宋体"/>
                <w:color w:val="000000"/>
                <w:szCs w:val="21"/>
              </w:rPr>
              <w:t>无</w:t>
            </w:r>
          </w:p>
        </w:tc>
      </w:tr>
      <w:tr>
        <w:tblPrEx>
          <w:tblCellMar>
            <w:top w:w="0" w:type="dxa"/>
            <w:left w:w="108" w:type="dxa"/>
            <w:bottom w:w="0" w:type="dxa"/>
            <w:right w:w="108" w:type="dxa"/>
          </w:tblCellMar>
        </w:tblPrEx>
        <w:trPr>
          <w:trHeight w:val="454" w:hRule="atLeast"/>
        </w:trPr>
        <w:tc>
          <w:tcPr>
            <w:tcW w:w="1165"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szCs w:val="21"/>
              </w:rPr>
            </w:pPr>
            <w:r>
              <w:rPr>
                <w:rFonts w:hint="eastAsia" w:ascii="宋体" w:hAnsi="宋体" w:cs="宋体"/>
                <w:color w:val="000000"/>
                <w:kern w:val="0"/>
                <w:szCs w:val="21"/>
              </w:rPr>
              <w:t>电子响应文件编制</w:t>
            </w:r>
          </w:p>
        </w:tc>
        <w:tc>
          <w:tcPr>
            <w:tcW w:w="612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szCs w:val="21"/>
              </w:rPr>
            </w:pPr>
            <w:r>
              <w:rPr>
                <w:rFonts w:hint="eastAsia" w:ascii="宋体" w:hAnsi="宋体" w:cs="宋体"/>
                <w:color w:val="000000"/>
                <w:szCs w:val="21"/>
              </w:rPr>
              <w:t>/</w:t>
            </w:r>
          </w:p>
        </w:tc>
      </w:tr>
      <w:tr>
        <w:tblPrEx>
          <w:tblCellMar>
            <w:top w:w="0" w:type="dxa"/>
            <w:left w:w="108" w:type="dxa"/>
            <w:bottom w:w="0" w:type="dxa"/>
            <w:right w:w="108" w:type="dxa"/>
          </w:tblCellMar>
        </w:tblPrEx>
        <w:trPr>
          <w:trHeight w:val="567" w:hRule="atLeast"/>
        </w:trPr>
        <w:tc>
          <w:tcPr>
            <w:tcW w:w="1165"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218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ascii="宋体" w:hAnsi="宋体" w:cs="宋体"/>
                <w:szCs w:val="21"/>
              </w:rPr>
            </w:pPr>
            <w:r>
              <w:rPr>
                <w:rFonts w:hint="eastAsia" w:ascii="宋体" w:hAnsi="宋体" w:cs="宋体"/>
                <w:color w:val="000000"/>
                <w:szCs w:val="21"/>
              </w:rPr>
              <w:t>电子响应文件签字盖章要求</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left"/>
              <w:rPr>
                <w:rFonts w:ascii="宋体" w:hAnsi="宋体" w:cs="宋体"/>
                <w:color w:val="000000"/>
                <w:szCs w:val="21"/>
              </w:rPr>
            </w:pPr>
            <w:r>
              <w:rPr>
                <w:rFonts w:hint="eastAsia" w:ascii="宋体" w:hAnsi="宋体" w:cs="宋体"/>
                <w:color w:val="000000"/>
                <w:szCs w:val="21"/>
              </w:rPr>
              <w:t>/</w:t>
            </w:r>
          </w:p>
        </w:tc>
      </w:tr>
      <w:tr>
        <w:tblPrEx>
          <w:tblCellMar>
            <w:top w:w="0" w:type="dxa"/>
            <w:left w:w="108" w:type="dxa"/>
            <w:bottom w:w="0" w:type="dxa"/>
            <w:right w:w="108" w:type="dxa"/>
          </w:tblCellMar>
        </w:tblPrEx>
        <w:trPr>
          <w:trHeight w:val="567" w:hRule="atLeast"/>
        </w:trPr>
        <w:tc>
          <w:tcPr>
            <w:tcW w:w="94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b/>
                <w:color w:val="000000"/>
                <w:szCs w:val="21"/>
              </w:rPr>
              <w:t>需要补充的其他内容</w:t>
            </w:r>
          </w:p>
        </w:tc>
      </w:tr>
      <w:tr>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ascii="宋体" w:hAnsi="宋体" w:cs="宋体"/>
                <w:szCs w:val="21"/>
              </w:rPr>
              <w:t>11</w:t>
            </w:r>
          </w:p>
        </w:tc>
        <w:tc>
          <w:tcPr>
            <w:tcW w:w="830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rPr>
            </w:pPr>
          </w:p>
          <w:p>
            <w:pPr>
              <w:spacing w:line="300" w:lineRule="exac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w:t>
            </w:r>
            <w:r>
              <w:rPr>
                <w:rFonts w:hint="eastAsia" w:ascii="宋体" w:hAnsi="宋体" w:cs="宋体"/>
                <w:color w:val="000000"/>
                <w:szCs w:val="21"/>
              </w:rPr>
              <w:t>服务商</w:t>
            </w:r>
            <w:r>
              <w:rPr>
                <w:rFonts w:ascii="宋体" w:hAnsi="宋体" w:cs="宋体"/>
                <w:color w:val="000000"/>
                <w:szCs w:val="21"/>
              </w:rPr>
              <w:t>应按采购文件的要求提供响应文件，并保证提供的全部资料是真实的，响应文件须对采购文件</w:t>
            </w:r>
            <w:r>
              <w:rPr>
                <w:rFonts w:hint="eastAsia" w:ascii="宋体" w:hAnsi="宋体" w:cs="宋体"/>
                <w:color w:val="000000"/>
                <w:szCs w:val="21"/>
              </w:rPr>
              <w:t>作出实质性响应，否则，询比小组将否决其</w:t>
            </w:r>
            <w:r>
              <w:rPr>
                <w:rFonts w:hint="eastAsia" w:ascii="宋体" w:hAnsi="宋体" w:cs="宋体"/>
                <w:szCs w:val="21"/>
              </w:rPr>
              <w:t>响应</w:t>
            </w:r>
            <w:r>
              <w:rPr>
                <w:rFonts w:hint="eastAsia" w:ascii="宋体" w:hAnsi="宋体" w:cs="宋体"/>
                <w:color w:val="000000"/>
                <w:szCs w:val="21"/>
              </w:rPr>
              <w:t>。</w:t>
            </w:r>
          </w:p>
          <w:p>
            <w:pPr>
              <w:spacing w:line="300" w:lineRule="exac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w:t>
            </w:r>
            <w:r>
              <w:rPr>
                <w:rFonts w:hint="eastAsia" w:ascii="宋体" w:hAnsi="宋体" w:cs="宋体"/>
                <w:color w:val="000000"/>
                <w:szCs w:val="21"/>
              </w:rPr>
              <w:t>服务商</w:t>
            </w:r>
            <w:r>
              <w:rPr>
                <w:rFonts w:ascii="宋体" w:hAnsi="宋体" w:cs="宋体"/>
                <w:color w:val="000000"/>
                <w:szCs w:val="21"/>
              </w:rPr>
              <w:t>在递交响应文件时，同时提交响应文件中</w:t>
            </w:r>
            <w:r>
              <w:rPr>
                <w:rFonts w:hint="eastAsia" w:ascii="宋体" w:hAnsi="宋体" w:cs="宋体"/>
                <w:color w:val="000000"/>
                <w:szCs w:val="21"/>
              </w:rPr>
              <w:t>各证明材料（包括证书、文件、合同及相关资料等）原件备查。</w:t>
            </w:r>
          </w:p>
          <w:p>
            <w:pPr>
              <w:spacing w:line="300" w:lineRule="exact"/>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w:t>
            </w:r>
            <w:r>
              <w:rPr>
                <w:rFonts w:hint="eastAsia" w:ascii="宋体" w:hAnsi="宋体" w:cs="宋体"/>
                <w:color w:val="000000"/>
                <w:szCs w:val="21"/>
              </w:rPr>
              <w:t>服务商</w:t>
            </w:r>
            <w:r>
              <w:rPr>
                <w:rFonts w:ascii="宋体" w:hAnsi="宋体" w:cs="宋体"/>
                <w:color w:val="000000"/>
                <w:szCs w:val="21"/>
              </w:rPr>
              <w:t>在递交响应文件时：法人代表人参加采购活动的提供法定代表人身份证明原件及身份证原件；委托代理人参加</w:t>
            </w:r>
            <w:r>
              <w:rPr>
                <w:rFonts w:hint="eastAsia" w:ascii="宋体" w:hAnsi="宋体" w:cs="宋体"/>
                <w:color w:val="000000"/>
                <w:szCs w:val="21"/>
              </w:rPr>
              <w:t>采购活动的提供法定代表人身份证明原件、授权委托书原件及授权委托代理人的身份证原件，法定代表人身份证明及法定代表人授权委托书按采购文件要求的格式执行。</w:t>
            </w:r>
          </w:p>
          <w:p>
            <w:pPr>
              <w:spacing w:line="300" w:lineRule="exact"/>
              <w:rPr>
                <w:rFonts w:ascii="宋体" w:hAnsi="宋体" w:cs="宋体"/>
                <w:szCs w:val="21"/>
              </w:rPr>
            </w:pPr>
            <w:r>
              <w:rPr>
                <w:rFonts w:hint="eastAsia" w:ascii="宋体" w:hAnsi="宋体" w:cs="宋体"/>
                <w:color w:val="000000"/>
                <w:szCs w:val="21"/>
              </w:rPr>
              <w:t>（4</w:t>
            </w:r>
            <w:r>
              <w:rPr>
                <w:rFonts w:ascii="宋体" w:hAnsi="宋体" w:cs="宋体"/>
                <w:color w:val="000000"/>
                <w:szCs w:val="21"/>
              </w:rPr>
              <w:t>）参加采购活动的法定代表人或授权委托代理人须在采购文件规定的响应文件递交截止时间（</w:t>
            </w:r>
            <w:r>
              <w:rPr>
                <w:rFonts w:hint="eastAsia" w:ascii="宋体" w:hAnsi="宋体" w:cs="宋体"/>
                <w:szCs w:val="21"/>
              </w:rPr>
              <w:t>开启响应文件</w:t>
            </w:r>
            <w:r>
              <w:rPr>
                <w:rFonts w:hint="eastAsia" w:ascii="宋体" w:hAnsi="宋体" w:cs="宋体"/>
                <w:color w:val="000000"/>
                <w:szCs w:val="21"/>
              </w:rPr>
              <w:t>）和地点参加响应文件开启会议，且须与法定代表人身份证明或授权委托书上注明的人员一致，否则做无效处理。</w:t>
            </w:r>
          </w:p>
        </w:tc>
      </w:tr>
    </w:tbl>
    <w:p>
      <w:pPr>
        <w:spacing w:line="360" w:lineRule="auto"/>
        <w:ind w:firstLine="420" w:firstLineChars="200"/>
        <w:rPr>
          <w:rFonts w:ascii="宋体" w:hAnsi="宋体" w:cs="宋体"/>
          <w:szCs w:val="21"/>
        </w:rPr>
      </w:pPr>
    </w:p>
    <w:p>
      <w:pPr>
        <w:spacing w:line="360" w:lineRule="auto"/>
        <w:rPr>
          <w:rFonts w:ascii="宋体" w:hAnsi="宋体" w:cs="宋体"/>
          <w:b/>
          <w:bCs/>
          <w:szCs w:val="21"/>
        </w:rPr>
      </w:pPr>
      <w:bookmarkStart w:id="37" w:name="_Toc152045529"/>
      <w:bookmarkStart w:id="38" w:name="_Toc144974497"/>
      <w:bookmarkStart w:id="39" w:name="_Toc247527553"/>
      <w:bookmarkStart w:id="40" w:name="_Toc152042305"/>
      <w:bookmarkStart w:id="41" w:name="_Toc359334182"/>
      <w:bookmarkStart w:id="42" w:name="_Toc247513952"/>
      <w:bookmarkStart w:id="43" w:name="_Toc359315076"/>
      <w:bookmarkStart w:id="44" w:name="_Toc29540"/>
      <w:bookmarkStart w:id="45" w:name="_Toc350759228"/>
      <w:bookmarkStart w:id="46" w:name="_Toc334103753"/>
      <w:bookmarkStart w:id="47" w:name="_Toc496800220"/>
      <w:bookmarkStart w:id="48" w:name="_Toc493776325"/>
      <w:bookmarkStart w:id="49" w:name="_Toc496702829"/>
      <w:bookmarkStart w:id="50" w:name="_Toc496797511"/>
      <w:bookmarkStart w:id="51" w:name="_Toc496800140"/>
      <w:bookmarkStart w:id="52" w:name="_Toc496797471"/>
      <w:bookmarkStart w:id="53" w:name="_Toc496818587"/>
      <w:bookmarkStart w:id="54" w:name="_Toc496702871"/>
      <w:bookmarkStart w:id="55" w:name="_Toc496800170"/>
      <w:r>
        <w:rPr>
          <w:rFonts w:hint="eastAsia" w:ascii="宋体" w:hAnsi="宋体" w:cs="宋体"/>
          <w:b/>
          <w:bCs/>
          <w:szCs w:val="21"/>
        </w:rPr>
        <w:t>1. 总则</w:t>
      </w:r>
      <w:bookmarkEnd w:id="37"/>
      <w:bookmarkEnd w:id="38"/>
      <w:bookmarkEnd w:id="39"/>
      <w:bookmarkEnd w:id="40"/>
      <w:bookmarkEnd w:id="41"/>
      <w:bookmarkEnd w:id="42"/>
      <w:bookmarkEnd w:id="43"/>
      <w:bookmarkEnd w:id="44"/>
      <w:bookmarkEnd w:id="45"/>
      <w:bookmarkEnd w:id="46"/>
    </w:p>
    <w:p>
      <w:pPr>
        <w:spacing w:line="360" w:lineRule="auto"/>
        <w:ind w:firstLine="211" w:firstLineChars="100"/>
        <w:rPr>
          <w:rFonts w:ascii="宋体" w:hAnsi="宋体" w:cs="宋体"/>
          <w:b/>
          <w:bCs/>
          <w:szCs w:val="21"/>
        </w:rPr>
      </w:pPr>
      <w:bookmarkStart w:id="56" w:name="_Toc334103754"/>
      <w:bookmarkStart w:id="57" w:name="_Toc152045530"/>
      <w:bookmarkStart w:id="58" w:name="_Toc247513953"/>
      <w:bookmarkStart w:id="59" w:name="_Toc359334183"/>
      <w:bookmarkStart w:id="60" w:name="_Toc247527554"/>
      <w:bookmarkStart w:id="61" w:name="_Toc152042306"/>
      <w:bookmarkStart w:id="62" w:name="_Toc350759229"/>
      <w:bookmarkStart w:id="63" w:name="_Toc32580"/>
      <w:bookmarkStart w:id="64" w:name="_Toc359315077"/>
      <w:bookmarkStart w:id="65" w:name="_Toc144974498"/>
      <w:r>
        <w:rPr>
          <w:rFonts w:hint="eastAsia" w:ascii="宋体" w:hAnsi="宋体" w:cs="宋体"/>
          <w:b/>
          <w:bCs/>
          <w:szCs w:val="21"/>
        </w:rPr>
        <w:t>1.1 项目概况</w:t>
      </w:r>
      <w:bookmarkEnd w:id="56"/>
      <w:bookmarkEnd w:id="57"/>
      <w:bookmarkEnd w:id="58"/>
      <w:bookmarkEnd w:id="59"/>
      <w:bookmarkEnd w:id="60"/>
      <w:bookmarkEnd w:id="61"/>
      <w:bookmarkEnd w:id="62"/>
      <w:bookmarkEnd w:id="63"/>
      <w:bookmarkEnd w:id="64"/>
      <w:bookmarkEnd w:id="65"/>
    </w:p>
    <w:p>
      <w:pPr>
        <w:spacing w:line="360" w:lineRule="auto"/>
        <w:ind w:firstLine="420" w:firstLineChars="200"/>
        <w:rPr>
          <w:rFonts w:ascii="宋体" w:hAnsi="宋体" w:cs="宋体"/>
          <w:szCs w:val="21"/>
        </w:rPr>
      </w:pPr>
      <w:r>
        <w:rPr>
          <w:rFonts w:hint="eastAsia" w:ascii="宋体" w:hAnsi="宋体" w:cs="宋体"/>
          <w:szCs w:val="21"/>
        </w:rPr>
        <w:t>1.1.1 根据中华人民共和国有关法律、法规和规章的规定，本项目已具备询比条件，现对该项目询比。</w:t>
      </w:r>
    </w:p>
    <w:p>
      <w:pPr>
        <w:spacing w:line="360" w:lineRule="auto"/>
        <w:ind w:firstLine="420" w:firstLineChars="200"/>
        <w:rPr>
          <w:rFonts w:ascii="宋体" w:hAnsi="宋体" w:cs="宋体"/>
          <w:szCs w:val="21"/>
        </w:rPr>
      </w:pPr>
      <w:r>
        <w:rPr>
          <w:rFonts w:hint="eastAsia" w:ascii="宋体" w:hAnsi="宋体" w:cs="宋体"/>
          <w:szCs w:val="21"/>
        </w:rPr>
        <w:t>1.1.2 采购人：见服务商须知前附表。</w:t>
      </w:r>
    </w:p>
    <w:p>
      <w:pPr>
        <w:spacing w:line="360" w:lineRule="auto"/>
        <w:ind w:firstLine="420" w:firstLineChars="200"/>
        <w:rPr>
          <w:rFonts w:ascii="宋体" w:hAnsi="宋体" w:cs="宋体"/>
          <w:szCs w:val="21"/>
        </w:rPr>
      </w:pPr>
      <w:r>
        <w:rPr>
          <w:rFonts w:hint="eastAsia" w:ascii="宋体" w:hAnsi="宋体" w:cs="宋体"/>
          <w:szCs w:val="21"/>
        </w:rPr>
        <w:t>1.1.3 采购代理机构：见服务商须知前附表。</w:t>
      </w:r>
    </w:p>
    <w:p>
      <w:pPr>
        <w:spacing w:line="360" w:lineRule="auto"/>
        <w:ind w:firstLine="420" w:firstLineChars="200"/>
        <w:rPr>
          <w:rFonts w:ascii="宋体" w:hAnsi="宋体" w:cs="宋体"/>
          <w:szCs w:val="21"/>
        </w:rPr>
      </w:pPr>
      <w:r>
        <w:rPr>
          <w:rFonts w:hint="eastAsia" w:ascii="宋体" w:hAnsi="宋体" w:cs="宋体"/>
          <w:szCs w:val="21"/>
        </w:rPr>
        <w:t>1.1.4 采购项目名称：见服务商须知前附表。</w:t>
      </w:r>
    </w:p>
    <w:p>
      <w:pPr>
        <w:spacing w:line="360" w:lineRule="auto"/>
        <w:ind w:firstLine="420" w:firstLineChars="200"/>
        <w:rPr>
          <w:rFonts w:ascii="宋体" w:hAnsi="宋体" w:cs="宋体"/>
          <w:szCs w:val="21"/>
        </w:rPr>
      </w:pPr>
      <w:r>
        <w:rPr>
          <w:rFonts w:hint="eastAsia" w:ascii="宋体" w:hAnsi="宋体" w:cs="宋体"/>
          <w:szCs w:val="21"/>
        </w:rPr>
        <w:t>1.1.5 服务地点：见服务商须知前附表。</w:t>
      </w:r>
    </w:p>
    <w:p>
      <w:pPr>
        <w:spacing w:line="360" w:lineRule="auto"/>
        <w:ind w:firstLine="211" w:firstLineChars="100"/>
        <w:rPr>
          <w:rFonts w:ascii="宋体" w:hAnsi="宋体" w:cs="宋体"/>
          <w:b/>
          <w:bCs/>
          <w:szCs w:val="21"/>
        </w:rPr>
      </w:pPr>
      <w:bookmarkStart w:id="66" w:name="_Toc359315078"/>
      <w:bookmarkStart w:id="67" w:name="_Toc144974499"/>
      <w:bookmarkStart w:id="68" w:name="_Toc359334184"/>
      <w:bookmarkStart w:id="69" w:name="_Toc152042307"/>
      <w:bookmarkStart w:id="70" w:name="_Toc334103755"/>
      <w:bookmarkStart w:id="71" w:name="_Toc7611"/>
      <w:bookmarkStart w:id="72" w:name="_Toc152045531"/>
      <w:bookmarkStart w:id="73" w:name="_Toc350759230"/>
      <w:bookmarkStart w:id="74" w:name="_Toc247527555"/>
      <w:bookmarkStart w:id="75" w:name="_Toc247513954"/>
      <w:r>
        <w:rPr>
          <w:rFonts w:hint="eastAsia" w:ascii="宋体" w:hAnsi="宋体" w:cs="宋体"/>
          <w:b/>
          <w:bCs/>
          <w:szCs w:val="21"/>
        </w:rPr>
        <w:t>1.2 项目的资金来源和落实情况</w:t>
      </w:r>
      <w:bookmarkEnd w:id="66"/>
      <w:bookmarkEnd w:id="67"/>
      <w:bookmarkEnd w:id="68"/>
      <w:bookmarkEnd w:id="69"/>
      <w:bookmarkEnd w:id="70"/>
      <w:bookmarkEnd w:id="71"/>
      <w:bookmarkEnd w:id="72"/>
      <w:bookmarkEnd w:id="73"/>
      <w:bookmarkEnd w:id="74"/>
      <w:bookmarkEnd w:id="75"/>
    </w:p>
    <w:p>
      <w:pPr>
        <w:spacing w:line="360" w:lineRule="auto"/>
        <w:ind w:firstLine="420" w:firstLineChars="200"/>
        <w:rPr>
          <w:rFonts w:ascii="宋体" w:hAnsi="宋体" w:cs="宋体"/>
          <w:szCs w:val="21"/>
        </w:rPr>
      </w:pPr>
      <w:r>
        <w:rPr>
          <w:rFonts w:hint="eastAsia" w:ascii="宋体" w:hAnsi="宋体" w:cs="宋体"/>
          <w:szCs w:val="21"/>
        </w:rPr>
        <w:t>1.2.1 资金来源：见服务商须知前附表。</w:t>
      </w:r>
    </w:p>
    <w:p>
      <w:pPr>
        <w:spacing w:line="360" w:lineRule="auto"/>
        <w:ind w:firstLine="420" w:firstLineChars="200"/>
        <w:rPr>
          <w:rFonts w:ascii="宋体" w:hAnsi="宋体" w:cs="宋体"/>
          <w:szCs w:val="21"/>
        </w:rPr>
      </w:pPr>
      <w:r>
        <w:rPr>
          <w:rFonts w:hint="eastAsia" w:ascii="宋体" w:hAnsi="宋体" w:cs="宋体"/>
          <w:szCs w:val="21"/>
        </w:rPr>
        <w:t>1.2.2 资金落实情况：见服务商须知前附表。</w:t>
      </w:r>
    </w:p>
    <w:p>
      <w:pPr>
        <w:spacing w:line="360" w:lineRule="auto"/>
        <w:ind w:firstLine="211" w:firstLineChars="100"/>
        <w:rPr>
          <w:rFonts w:ascii="宋体" w:hAnsi="宋体" w:cs="宋体"/>
          <w:b/>
          <w:bCs/>
          <w:szCs w:val="21"/>
        </w:rPr>
      </w:pPr>
      <w:bookmarkStart w:id="76" w:name="_Toc152045532"/>
      <w:bookmarkStart w:id="77" w:name="_Toc152042308"/>
      <w:bookmarkStart w:id="78" w:name="_Toc247513955"/>
      <w:bookmarkStart w:id="79" w:name="_Toc144974500"/>
      <w:bookmarkStart w:id="80" w:name="_Toc247527556"/>
      <w:bookmarkStart w:id="81" w:name="_Toc774"/>
      <w:bookmarkStart w:id="82" w:name="_Toc350759231"/>
      <w:bookmarkStart w:id="83" w:name="_Toc359334185"/>
      <w:bookmarkStart w:id="84" w:name="_Toc359315079"/>
      <w:bookmarkStart w:id="85" w:name="_Toc334103756"/>
      <w:r>
        <w:rPr>
          <w:rFonts w:hint="eastAsia" w:ascii="宋体" w:hAnsi="宋体" w:cs="宋体"/>
          <w:b/>
          <w:bCs/>
          <w:szCs w:val="21"/>
        </w:rPr>
        <w:t>1.3 采购范围、服务期和</w:t>
      </w:r>
      <w:bookmarkEnd w:id="76"/>
      <w:bookmarkEnd w:id="77"/>
      <w:bookmarkEnd w:id="78"/>
      <w:bookmarkEnd w:id="79"/>
      <w:bookmarkEnd w:id="80"/>
      <w:r>
        <w:rPr>
          <w:rFonts w:hint="eastAsia" w:ascii="宋体" w:hAnsi="宋体" w:cs="宋体"/>
          <w:b/>
          <w:bCs/>
          <w:szCs w:val="21"/>
        </w:rPr>
        <w:t>质量标准</w:t>
      </w:r>
      <w:bookmarkEnd w:id="81"/>
      <w:bookmarkEnd w:id="82"/>
      <w:bookmarkEnd w:id="83"/>
      <w:bookmarkEnd w:id="84"/>
      <w:bookmarkEnd w:id="85"/>
    </w:p>
    <w:p>
      <w:pPr>
        <w:spacing w:line="360" w:lineRule="auto"/>
        <w:ind w:firstLine="420" w:firstLineChars="200"/>
        <w:rPr>
          <w:rFonts w:ascii="宋体" w:hAnsi="宋体" w:cs="宋体"/>
          <w:szCs w:val="21"/>
        </w:rPr>
      </w:pPr>
      <w:r>
        <w:rPr>
          <w:rFonts w:hint="eastAsia" w:ascii="宋体" w:hAnsi="宋体" w:cs="宋体"/>
          <w:szCs w:val="21"/>
        </w:rPr>
        <w:t>1.3.1 采购范围：</w:t>
      </w:r>
      <w:r>
        <w:rPr>
          <w:rFonts w:hint="eastAsia" w:ascii="宋体" w:hAnsi="宋体" w:cs="宋体"/>
        </w:rPr>
        <w:t>完成中小微企业和社会源危险废物集中收集贮存试点单位设施甲类库建设项目的项目建议书及可行性研究报告成果报告编制服务。</w:t>
      </w:r>
    </w:p>
    <w:p>
      <w:pPr>
        <w:spacing w:line="360" w:lineRule="auto"/>
        <w:ind w:firstLine="420" w:firstLineChars="200"/>
        <w:rPr>
          <w:rFonts w:ascii="宋体" w:hAnsi="宋体" w:cs="宋体"/>
          <w:szCs w:val="21"/>
        </w:rPr>
      </w:pPr>
      <w:r>
        <w:rPr>
          <w:rFonts w:hint="eastAsia" w:ascii="宋体" w:hAnsi="宋体" w:cs="宋体"/>
          <w:szCs w:val="21"/>
        </w:rPr>
        <w:t>1.3.2 服务期限：</w:t>
      </w:r>
      <w:r>
        <w:rPr>
          <w:rFonts w:hint="eastAsia" w:ascii="宋体" w:hAnsi="宋体" w:cs="宋体"/>
          <w:color w:val="0070C0"/>
          <w:szCs w:val="21"/>
          <w:highlight w:val="yellow"/>
        </w:rPr>
        <w:t>合同签订后</w:t>
      </w:r>
      <w:r>
        <w:rPr>
          <w:rFonts w:hint="eastAsia" w:ascii="宋体" w:hAnsi="宋体" w:cs="宋体"/>
          <w:color w:val="0070C0"/>
          <w:szCs w:val="21"/>
        </w:rPr>
        <w:t>30</w:t>
      </w:r>
      <w:r>
        <w:rPr>
          <w:rFonts w:hint="eastAsia" w:ascii="宋体" w:hAnsi="宋体" w:cs="宋体"/>
          <w:color w:val="0070C0"/>
          <w:szCs w:val="21"/>
          <w:highlight w:val="yellow"/>
        </w:rPr>
        <w:t>个日历天提交成果报告。</w:t>
      </w:r>
    </w:p>
    <w:p>
      <w:pPr>
        <w:spacing w:line="360" w:lineRule="auto"/>
        <w:ind w:firstLine="420" w:firstLineChars="200"/>
        <w:rPr>
          <w:rFonts w:ascii="宋体" w:hAnsi="宋体" w:cs="宋体"/>
          <w:szCs w:val="21"/>
          <w:highlight w:val="yellow"/>
        </w:rPr>
      </w:pPr>
      <w:r>
        <w:rPr>
          <w:rFonts w:hint="eastAsia" w:ascii="宋体" w:hAnsi="宋体" w:cs="宋体"/>
          <w:szCs w:val="21"/>
        </w:rPr>
        <w:t>1.3.3 质量标准：</w:t>
      </w:r>
      <w:r>
        <w:rPr>
          <w:rFonts w:hint="eastAsia" w:ascii="宋体" w:hAnsi="宋体" w:cs="宋体"/>
          <w:highlight w:val="yellow"/>
        </w:rPr>
        <w:t>按照最新法律法规依据，编制成果报告。</w:t>
      </w:r>
    </w:p>
    <w:p>
      <w:pPr>
        <w:spacing w:line="360" w:lineRule="auto"/>
        <w:ind w:firstLine="211" w:firstLineChars="100"/>
        <w:rPr>
          <w:rFonts w:ascii="宋体" w:hAnsi="宋体" w:cs="宋体"/>
          <w:b/>
          <w:bCs/>
          <w:szCs w:val="21"/>
        </w:rPr>
      </w:pPr>
      <w:bookmarkStart w:id="86" w:name="_Toc359315080"/>
      <w:bookmarkStart w:id="87" w:name="_Toc152042310"/>
      <w:bookmarkStart w:id="88" w:name="_Toc247513957"/>
      <w:bookmarkStart w:id="89" w:name="_Toc359334186"/>
      <w:bookmarkStart w:id="90" w:name="_Toc152045534"/>
      <w:bookmarkStart w:id="91" w:name="_Toc247527558"/>
      <w:bookmarkStart w:id="92" w:name="_Toc144974502"/>
      <w:bookmarkStart w:id="93" w:name="_Toc15427"/>
      <w:bookmarkStart w:id="94" w:name="_Toc334103757"/>
      <w:bookmarkStart w:id="95" w:name="_Toc350759232"/>
      <w:r>
        <w:rPr>
          <w:rFonts w:hint="eastAsia" w:ascii="宋体" w:hAnsi="宋体" w:cs="宋体"/>
          <w:b/>
          <w:bCs/>
          <w:szCs w:val="21"/>
        </w:rPr>
        <w:t>1.4 服务商资格要求</w:t>
      </w:r>
      <w:bookmarkEnd w:id="86"/>
      <w:bookmarkEnd w:id="87"/>
      <w:bookmarkEnd w:id="88"/>
      <w:bookmarkEnd w:id="89"/>
      <w:bookmarkEnd w:id="90"/>
      <w:bookmarkEnd w:id="91"/>
      <w:bookmarkEnd w:id="92"/>
      <w:bookmarkEnd w:id="93"/>
      <w:bookmarkEnd w:id="94"/>
      <w:bookmarkEnd w:id="95"/>
    </w:p>
    <w:p>
      <w:pPr>
        <w:spacing w:line="360" w:lineRule="auto"/>
        <w:ind w:firstLine="420" w:firstLineChars="200"/>
        <w:rPr>
          <w:rFonts w:ascii="宋体" w:hAnsi="宋体" w:cs="宋体"/>
          <w:szCs w:val="21"/>
        </w:rPr>
      </w:pPr>
      <w:r>
        <w:rPr>
          <w:rFonts w:hint="eastAsia" w:ascii="宋体" w:hAnsi="宋体" w:cs="宋体"/>
          <w:szCs w:val="21"/>
        </w:rPr>
        <w:t>1.4.1 服务商应具备承担本采购项目资质条件、能力和信誉。</w:t>
      </w:r>
    </w:p>
    <w:p>
      <w:pPr>
        <w:spacing w:line="360" w:lineRule="auto"/>
        <w:ind w:firstLine="420" w:firstLineChars="200"/>
        <w:rPr>
          <w:rFonts w:ascii="宋体" w:hAnsi="宋体" w:cs="宋体"/>
          <w:szCs w:val="21"/>
        </w:rPr>
      </w:pPr>
      <w:r>
        <w:rPr>
          <w:rFonts w:hint="eastAsia" w:ascii="宋体" w:hAnsi="宋体" w:cs="宋体"/>
          <w:szCs w:val="21"/>
        </w:rPr>
        <w:t>（1）资质要求：见服务商须知前附表；</w:t>
      </w:r>
    </w:p>
    <w:p>
      <w:pPr>
        <w:spacing w:line="360" w:lineRule="auto"/>
        <w:ind w:firstLine="420" w:firstLineChars="200"/>
        <w:rPr>
          <w:rFonts w:ascii="宋体" w:hAnsi="宋体" w:cs="宋体"/>
          <w:szCs w:val="21"/>
        </w:rPr>
      </w:pPr>
      <w:r>
        <w:rPr>
          <w:rFonts w:hint="eastAsia" w:ascii="宋体" w:hAnsi="宋体" w:cs="宋体"/>
          <w:szCs w:val="21"/>
        </w:rPr>
        <w:t>（2）财务要求：见服务商须知前附表；</w:t>
      </w:r>
    </w:p>
    <w:p>
      <w:pPr>
        <w:spacing w:line="360" w:lineRule="auto"/>
        <w:ind w:firstLine="420" w:firstLineChars="200"/>
        <w:rPr>
          <w:rFonts w:ascii="宋体" w:hAnsi="宋体" w:cs="宋体"/>
          <w:szCs w:val="21"/>
        </w:rPr>
      </w:pPr>
      <w:r>
        <w:rPr>
          <w:rFonts w:hint="eastAsia" w:ascii="宋体" w:hAnsi="宋体" w:cs="宋体"/>
          <w:szCs w:val="21"/>
        </w:rPr>
        <w:t>（3）业绩要求：见服务商须知前附表；</w:t>
      </w:r>
    </w:p>
    <w:p>
      <w:pPr>
        <w:spacing w:line="360" w:lineRule="auto"/>
        <w:ind w:firstLine="420" w:firstLineChars="200"/>
        <w:rPr>
          <w:rFonts w:ascii="宋体" w:hAnsi="宋体" w:cs="宋体"/>
          <w:szCs w:val="21"/>
        </w:rPr>
      </w:pPr>
      <w:r>
        <w:rPr>
          <w:rFonts w:hint="eastAsia" w:ascii="宋体" w:hAnsi="宋体" w:cs="宋体"/>
          <w:szCs w:val="21"/>
        </w:rPr>
        <w:t>（4）信誉要求：见服务商须知前附表；</w:t>
      </w:r>
    </w:p>
    <w:p>
      <w:pPr>
        <w:spacing w:line="360" w:lineRule="auto"/>
        <w:ind w:firstLine="420" w:firstLineChars="200"/>
        <w:rPr>
          <w:rFonts w:ascii="宋体" w:hAnsi="宋体" w:cs="宋体"/>
          <w:szCs w:val="21"/>
        </w:rPr>
      </w:pPr>
      <w:r>
        <w:rPr>
          <w:rFonts w:hint="eastAsia" w:ascii="宋体" w:hAnsi="宋体" w:cs="宋体"/>
          <w:szCs w:val="21"/>
        </w:rPr>
        <w:t>（5）其他要求：见服务商须知前附表。</w:t>
      </w:r>
    </w:p>
    <w:p>
      <w:pPr>
        <w:spacing w:line="360" w:lineRule="auto"/>
        <w:ind w:firstLine="420" w:firstLineChars="200"/>
        <w:rPr>
          <w:rFonts w:ascii="宋体" w:hAnsi="宋体" w:cs="宋体"/>
          <w:szCs w:val="21"/>
        </w:rPr>
      </w:pPr>
      <w:r>
        <w:rPr>
          <w:rFonts w:hint="eastAsia" w:ascii="宋体" w:hAnsi="宋体" w:cs="宋体"/>
          <w:szCs w:val="21"/>
        </w:rPr>
        <w:t>1.4.2 如服务商须知前附表规定接受联合体参加的，联合体除应符合本章第 1.4.1项和服务商须知前附表的要求外，还应遵守以下规定：</w:t>
      </w:r>
    </w:p>
    <w:p>
      <w:pPr>
        <w:spacing w:line="360" w:lineRule="auto"/>
        <w:ind w:firstLine="420" w:firstLineChars="200"/>
        <w:rPr>
          <w:rFonts w:ascii="宋体" w:hAnsi="宋体" w:cs="宋体"/>
          <w:szCs w:val="21"/>
        </w:rPr>
      </w:pPr>
      <w:r>
        <w:rPr>
          <w:rFonts w:hint="eastAsia" w:ascii="宋体" w:hAnsi="宋体" w:cs="宋体"/>
          <w:szCs w:val="21"/>
        </w:rPr>
        <w:t>（1）联合体各方应按采购文件提供的格式签订联合体协议书，明确联合体牵头人和各方权利义务，并承诺就中标项目向采购人承担连带责任；</w:t>
      </w:r>
    </w:p>
    <w:p>
      <w:pPr>
        <w:spacing w:line="360" w:lineRule="auto"/>
        <w:ind w:firstLine="420" w:firstLineChars="200"/>
        <w:rPr>
          <w:rFonts w:ascii="宋体" w:hAnsi="宋体" w:cs="宋体"/>
          <w:szCs w:val="21"/>
        </w:rPr>
      </w:pPr>
      <w:r>
        <w:rPr>
          <w:rFonts w:hint="eastAsia" w:ascii="宋体" w:hAnsi="宋体" w:cs="宋体"/>
          <w:szCs w:val="21"/>
        </w:rPr>
        <w:t>（2）由同一专业的单位组成的联合体，按照资质等级较低的单位确定资质等级；</w:t>
      </w:r>
    </w:p>
    <w:p>
      <w:pPr>
        <w:spacing w:line="360" w:lineRule="auto"/>
        <w:ind w:firstLine="420" w:firstLineChars="200"/>
        <w:rPr>
          <w:rFonts w:ascii="宋体" w:hAnsi="宋体" w:cs="宋体"/>
          <w:szCs w:val="21"/>
        </w:rPr>
      </w:pPr>
      <w:r>
        <w:rPr>
          <w:rFonts w:hint="eastAsia" w:ascii="宋体" w:hAnsi="宋体" w:cs="宋体"/>
          <w:szCs w:val="21"/>
        </w:rPr>
        <w:t>（3）联合体各方不得再以自己名义单独或参加其他联合体在本采购项目中响应，否则各相关响应均无效。</w:t>
      </w:r>
    </w:p>
    <w:p>
      <w:pPr>
        <w:spacing w:line="360" w:lineRule="auto"/>
        <w:ind w:firstLine="420" w:firstLineChars="200"/>
        <w:rPr>
          <w:rFonts w:ascii="宋体" w:hAnsi="宋体" w:cs="宋体"/>
          <w:szCs w:val="21"/>
        </w:rPr>
      </w:pPr>
      <w:r>
        <w:rPr>
          <w:rFonts w:hint="eastAsia" w:ascii="宋体" w:hAnsi="宋体" w:cs="宋体"/>
          <w:szCs w:val="21"/>
        </w:rPr>
        <w:t>1.4.3 服务商不得存在下列情形之一：</w:t>
      </w:r>
    </w:p>
    <w:p>
      <w:pPr>
        <w:spacing w:line="360" w:lineRule="auto"/>
        <w:ind w:firstLine="420" w:firstLineChars="200"/>
        <w:rPr>
          <w:rFonts w:ascii="宋体" w:hAnsi="宋体" w:cs="宋体"/>
          <w:szCs w:val="21"/>
        </w:rPr>
      </w:pPr>
      <w:r>
        <w:rPr>
          <w:rFonts w:hint="eastAsia" w:ascii="宋体" w:hAnsi="宋体" w:cs="宋体"/>
          <w:szCs w:val="21"/>
        </w:rPr>
        <w:t>（1）为采购人不具有独立法人资格的附属机构（单位）；</w:t>
      </w:r>
    </w:p>
    <w:p>
      <w:pPr>
        <w:spacing w:line="360" w:lineRule="auto"/>
        <w:ind w:firstLine="420" w:firstLineChars="200"/>
        <w:rPr>
          <w:rFonts w:ascii="宋体" w:hAnsi="宋体" w:cs="宋体"/>
          <w:szCs w:val="21"/>
        </w:rPr>
      </w:pPr>
      <w:r>
        <w:rPr>
          <w:rFonts w:hint="eastAsia" w:ascii="宋体" w:hAnsi="宋体" w:cs="宋体"/>
          <w:szCs w:val="21"/>
        </w:rPr>
        <w:t>（2）与采购人存在利害关系且可能影响采购公正性；</w:t>
      </w:r>
    </w:p>
    <w:p>
      <w:pPr>
        <w:spacing w:line="360" w:lineRule="auto"/>
        <w:ind w:firstLine="420" w:firstLineChars="200"/>
        <w:rPr>
          <w:rFonts w:ascii="宋体" w:hAnsi="宋体" w:cs="宋体"/>
          <w:color w:val="000000"/>
        </w:rPr>
      </w:pPr>
      <w:r>
        <w:rPr>
          <w:rFonts w:hint="eastAsia" w:ascii="宋体" w:hAnsi="宋体" w:cs="宋体"/>
          <w:szCs w:val="21"/>
        </w:rPr>
        <w:t>（3）</w:t>
      </w:r>
      <w:r>
        <w:rPr>
          <w:rFonts w:hint="eastAsia" w:ascii="宋体" w:hAnsi="宋体" w:cs="宋体"/>
          <w:color w:val="000000"/>
        </w:rPr>
        <w:t>与本采购项目的其他服务商为同一个单位负责人；</w:t>
      </w:r>
    </w:p>
    <w:p>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color w:val="000000"/>
        </w:rPr>
        <w:t>与本采购项目的其他服务商存在控股、管理关系；</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color w:val="000000"/>
        </w:rPr>
        <w:t>被依法暂停或者取消投标资格；</w:t>
      </w:r>
    </w:p>
    <w:p>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color w:val="000000"/>
        </w:rPr>
        <w:t>被责令停产停业、暂扣或者吊销许可证、暂扣或者吊销执照；</w:t>
      </w:r>
    </w:p>
    <w:p>
      <w:pPr>
        <w:spacing w:line="360" w:lineRule="auto"/>
        <w:ind w:firstLine="420" w:firstLineChars="200"/>
        <w:rPr>
          <w:rFonts w:ascii="宋体" w:hAnsi="宋体" w:cs="宋体"/>
          <w:szCs w:val="21"/>
        </w:rPr>
      </w:pPr>
      <w:r>
        <w:rPr>
          <w:rFonts w:hint="eastAsia" w:ascii="宋体" w:hAnsi="宋体" w:cs="宋体"/>
          <w:szCs w:val="21"/>
        </w:rPr>
        <w:t>（7）财产被接管或冻结的，</w:t>
      </w:r>
      <w:r>
        <w:rPr>
          <w:rFonts w:hint="eastAsia" w:ascii="宋体" w:hAnsi="宋体" w:cs="宋体"/>
          <w:color w:val="000000"/>
        </w:rPr>
        <w:t>进入清算程序，或被宣告破产，或其他丧失履约能力的情形；</w:t>
      </w:r>
    </w:p>
    <w:p>
      <w:pPr>
        <w:spacing w:line="360" w:lineRule="auto"/>
        <w:ind w:firstLine="420" w:firstLineChars="200"/>
        <w:rPr>
          <w:rFonts w:ascii="宋体" w:hAnsi="宋体" w:cs="宋体"/>
          <w:szCs w:val="21"/>
        </w:rPr>
      </w:pPr>
      <w:r>
        <w:rPr>
          <w:rFonts w:hint="eastAsia" w:ascii="宋体" w:hAnsi="宋体" w:cs="宋体"/>
          <w:szCs w:val="21"/>
        </w:rPr>
        <w:t>（8）在最近三年内有骗取中标或严重违约或重大工程质量问题的；</w:t>
      </w:r>
    </w:p>
    <w:p>
      <w:pPr>
        <w:spacing w:line="360" w:lineRule="auto"/>
        <w:ind w:firstLine="420" w:firstLineChars="200"/>
        <w:rPr>
          <w:rFonts w:ascii="宋体" w:hAnsi="宋体" w:cs="宋体"/>
          <w:szCs w:val="21"/>
        </w:rPr>
      </w:pPr>
      <w:r>
        <w:rPr>
          <w:rFonts w:hint="eastAsia" w:ascii="宋体" w:hAnsi="宋体" w:cs="宋体"/>
          <w:szCs w:val="21"/>
        </w:rPr>
        <w:t>（9）被工商行政管理机关在全国企业信用信息公示系统中列入严重违法失信企业名单；</w:t>
      </w:r>
    </w:p>
    <w:p>
      <w:pPr>
        <w:spacing w:line="360" w:lineRule="auto"/>
        <w:ind w:firstLine="420" w:firstLineChars="200"/>
        <w:rPr>
          <w:rFonts w:ascii="宋体" w:hAnsi="宋体" w:cs="宋体"/>
          <w:szCs w:val="21"/>
        </w:rPr>
      </w:pPr>
      <w:r>
        <w:rPr>
          <w:rFonts w:hint="eastAsia" w:ascii="宋体" w:hAnsi="宋体" w:cs="宋体"/>
          <w:szCs w:val="21"/>
        </w:rPr>
        <w:t>（10）被最高人民法院在“信用中国”网站（www.creditchina.gov.cn）或各级信用信息共享平台中列入失信被执行人名单；</w:t>
      </w:r>
    </w:p>
    <w:p>
      <w:pPr>
        <w:spacing w:line="360" w:lineRule="auto"/>
        <w:ind w:firstLine="420" w:firstLineChars="200"/>
        <w:rPr>
          <w:rFonts w:ascii="宋体" w:hAnsi="宋体" w:cs="宋体"/>
          <w:szCs w:val="21"/>
        </w:rPr>
      </w:pPr>
      <w:r>
        <w:rPr>
          <w:rFonts w:hint="eastAsia" w:ascii="宋体" w:hAnsi="宋体" w:cs="宋体"/>
          <w:szCs w:val="21"/>
        </w:rPr>
        <w:t>（11）法律法规限定的其他情形。</w:t>
      </w:r>
    </w:p>
    <w:p>
      <w:pPr>
        <w:spacing w:line="360" w:lineRule="auto"/>
        <w:ind w:firstLine="211" w:firstLineChars="100"/>
        <w:rPr>
          <w:rFonts w:ascii="宋体" w:hAnsi="宋体" w:cs="宋体"/>
          <w:b/>
          <w:bCs/>
          <w:szCs w:val="21"/>
        </w:rPr>
      </w:pPr>
      <w:bookmarkStart w:id="96" w:name="_Toc152042311"/>
      <w:bookmarkStart w:id="97" w:name="_Toc152045535"/>
      <w:bookmarkStart w:id="98" w:name="_Toc247513958"/>
      <w:bookmarkStart w:id="99" w:name="_Toc247527559"/>
      <w:bookmarkStart w:id="100" w:name="_Toc144974503"/>
      <w:bookmarkStart w:id="101" w:name="_Toc5028"/>
      <w:bookmarkStart w:id="102" w:name="_Toc359315081"/>
      <w:bookmarkStart w:id="103" w:name="_Toc350759233"/>
      <w:bookmarkStart w:id="104" w:name="_Toc359334187"/>
      <w:bookmarkStart w:id="105" w:name="_Toc334103758"/>
      <w:r>
        <w:rPr>
          <w:rFonts w:hint="eastAsia" w:ascii="宋体" w:hAnsi="宋体" w:cs="宋体"/>
          <w:b/>
          <w:bCs/>
          <w:szCs w:val="21"/>
        </w:rPr>
        <w:t>1.5 费用承担</w:t>
      </w:r>
      <w:bookmarkEnd w:id="96"/>
      <w:bookmarkEnd w:id="97"/>
      <w:bookmarkEnd w:id="98"/>
      <w:bookmarkEnd w:id="99"/>
      <w:bookmarkEnd w:id="100"/>
      <w:bookmarkEnd w:id="101"/>
      <w:bookmarkEnd w:id="102"/>
      <w:bookmarkEnd w:id="103"/>
      <w:bookmarkEnd w:id="104"/>
      <w:bookmarkEnd w:id="105"/>
    </w:p>
    <w:p>
      <w:pPr>
        <w:spacing w:line="360" w:lineRule="auto"/>
        <w:ind w:firstLine="420" w:firstLineChars="200"/>
        <w:rPr>
          <w:rFonts w:ascii="宋体" w:hAnsi="宋体" w:cs="宋体"/>
          <w:szCs w:val="21"/>
        </w:rPr>
      </w:pPr>
      <w:r>
        <w:rPr>
          <w:rFonts w:hint="eastAsia" w:ascii="宋体" w:hAnsi="宋体"/>
          <w:szCs w:val="21"/>
        </w:rPr>
        <w:t>不论本项目成交的结果如何，</w:t>
      </w:r>
      <w:r>
        <w:rPr>
          <w:rFonts w:hint="eastAsia" w:ascii="宋体" w:hAnsi="宋体" w:cs="宋体"/>
          <w:szCs w:val="21"/>
        </w:rPr>
        <w:t>服务商准备和参加询比活动发生的费用自理。</w:t>
      </w:r>
    </w:p>
    <w:p>
      <w:pPr>
        <w:spacing w:line="360" w:lineRule="auto"/>
        <w:ind w:firstLine="211" w:firstLineChars="100"/>
        <w:rPr>
          <w:rFonts w:ascii="宋体" w:hAnsi="宋体" w:cs="宋体"/>
          <w:b/>
          <w:bCs/>
          <w:szCs w:val="21"/>
        </w:rPr>
      </w:pPr>
      <w:bookmarkStart w:id="106" w:name="_Toc359334188"/>
      <w:bookmarkStart w:id="107" w:name="_Toc24797"/>
      <w:bookmarkStart w:id="108" w:name="_Toc152045536"/>
      <w:bookmarkStart w:id="109" w:name="_Toc247513959"/>
      <w:bookmarkStart w:id="110" w:name="_Toc247527560"/>
      <w:bookmarkStart w:id="111" w:name="_Toc144974504"/>
      <w:bookmarkStart w:id="112" w:name="_Toc350759234"/>
      <w:bookmarkStart w:id="113" w:name="_Toc152042312"/>
      <w:bookmarkStart w:id="114" w:name="_Toc2275"/>
      <w:bookmarkStart w:id="115" w:name="_Toc359315082"/>
      <w:bookmarkStart w:id="116" w:name="_Toc334103759"/>
      <w:r>
        <w:rPr>
          <w:rFonts w:hint="eastAsia" w:ascii="宋体" w:hAnsi="宋体" w:cs="宋体"/>
          <w:b/>
          <w:bCs/>
          <w:szCs w:val="21"/>
        </w:rPr>
        <w:t>1.6 保密</w:t>
      </w:r>
      <w:bookmarkEnd w:id="106"/>
      <w:bookmarkEnd w:id="107"/>
      <w:bookmarkEnd w:id="108"/>
      <w:bookmarkEnd w:id="109"/>
      <w:bookmarkEnd w:id="110"/>
      <w:bookmarkEnd w:id="111"/>
      <w:bookmarkEnd w:id="112"/>
      <w:bookmarkEnd w:id="113"/>
      <w:bookmarkEnd w:id="114"/>
      <w:bookmarkEnd w:id="115"/>
      <w:bookmarkEnd w:id="116"/>
    </w:p>
    <w:p>
      <w:pPr>
        <w:spacing w:line="360" w:lineRule="auto"/>
        <w:ind w:firstLine="420" w:firstLineChars="200"/>
        <w:rPr>
          <w:rFonts w:ascii="宋体" w:hAnsi="宋体" w:cs="宋体"/>
          <w:szCs w:val="21"/>
        </w:rPr>
      </w:pPr>
      <w:r>
        <w:rPr>
          <w:rFonts w:hint="eastAsia" w:ascii="宋体" w:hAnsi="宋体" w:cs="宋体"/>
          <w:szCs w:val="21"/>
        </w:rPr>
        <w:t>参与询比活动的各方应对采购文件和响应文件中的商业和技术等秘密保密，</w:t>
      </w:r>
      <w:r>
        <w:rPr>
          <w:rFonts w:hint="eastAsia" w:ascii="宋体" w:hAnsi="宋体"/>
          <w:szCs w:val="21"/>
        </w:rPr>
        <w:t>违者应对由此造成的后果承担法律责任。</w:t>
      </w:r>
    </w:p>
    <w:p>
      <w:pPr>
        <w:spacing w:line="360" w:lineRule="auto"/>
        <w:ind w:firstLine="211" w:firstLineChars="100"/>
        <w:rPr>
          <w:rFonts w:ascii="宋体" w:hAnsi="宋体" w:cs="宋体"/>
          <w:b/>
          <w:bCs/>
          <w:szCs w:val="21"/>
        </w:rPr>
      </w:pPr>
      <w:bookmarkStart w:id="117" w:name="_Toc144974505"/>
      <w:bookmarkStart w:id="118" w:name="_Toc359334189"/>
      <w:bookmarkStart w:id="119" w:name="_Toc247513960"/>
      <w:bookmarkStart w:id="120" w:name="_Toc152045537"/>
      <w:bookmarkStart w:id="121" w:name="_Toc247527561"/>
      <w:bookmarkStart w:id="122" w:name="_Toc334103760"/>
      <w:bookmarkStart w:id="123" w:name="_Toc152042313"/>
      <w:bookmarkStart w:id="124" w:name="_Toc350759235"/>
      <w:bookmarkStart w:id="125" w:name="_Toc26860"/>
      <w:bookmarkStart w:id="126" w:name="_Toc870"/>
      <w:bookmarkStart w:id="127" w:name="_Toc359315083"/>
      <w:r>
        <w:rPr>
          <w:rFonts w:hint="eastAsia" w:ascii="宋体" w:hAnsi="宋体" w:cs="宋体"/>
          <w:b/>
          <w:bCs/>
          <w:szCs w:val="21"/>
        </w:rPr>
        <w:t>1.7 语言</w:t>
      </w:r>
      <w:bookmarkEnd w:id="117"/>
      <w:r>
        <w:rPr>
          <w:rFonts w:hint="eastAsia" w:ascii="宋体" w:hAnsi="宋体" w:cs="宋体"/>
          <w:b/>
          <w:bCs/>
          <w:szCs w:val="21"/>
        </w:rPr>
        <w:t>文字</w:t>
      </w:r>
      <w:bookmarkEnd w:id="118"/>
      <w:bookmarkEnd w:id="119"/>
      <w:bookmarkEnd w:id="120"/>
      <w:bookmarkEnd w:id="121"/>
      <w:bookmarkEnd w:id="122"/>
      <w:bookmarkEnd w:id="123"/>
      <w:bookmarkEnd w:id="124"/>
      <w:bookmarkEnd w:id="125"/>
      <w:bookmarkEnd w:id="126"/>
      <w:bookmarkEnd w:id="127"/>
    </w:p>
    <w:p>
      <w:pPr>
        <w:spacing w:line="360" w:lineRule="auto"/>
        <w:ind w:firstLine="420" w:firstLineChars="200"/>
        <w:rPr>
          <w:rFonts w:ascii="宋体" w:hAnsi="宋体" w:cs="宋体"/>
          <w:szCs w:val="21"/>
        </w:rPr>
      </w:pPr>
      <w:r>
        <w:rPr>
          <w:rFonts w:hint="eastAsia" w:ascii="宋体" w:hAnsi="宋体" w:cs="宋体"/>
          <w:szCs w:val="21"/>
        </w:rPr>
        <w:t>响应文件使用的语言文字为中文。专用术语使用外文的，应附有中文注释。</w:t>
      </w:r>
    </w:p>
    <w:p>
      <w:pPr>
        <w:spacing w:line="360" w:lineRule="auto"/>
        <w:ind w:firstLine="211" w:firstLineChars="100"/>
        <w:rPr>
          <w:rFonts w:ascii="宋体" w:hAnsi="宋体" w:cs="宋体"/>
          <w:b/>
          <w:bCs/>
          <w:szCs w:val="21"/>
        </w:rPr>
      </w:pPr>
      <w:bookmarkStart w:id="128" w:name="_Toc334103761"/>
      <w:bookmarkStart w:id="129" w:name="_Toc22068_WPSOffice_Level1"/>
      <w:bookmarkStart w:id="130" w:name="_Toc152045538"/>
      <w:bookmarkStart w:id="131" w:name="_Toc13235"/>
      <w:bookmarkStart w:id="132" w:name="_Toc359315084"/>
      <w:bookmarkStart w:id="133" w:name="_Toc350759236"/>
      <w:bookmarkStart w:id="134" w:name="_Toc247513961"/>
      <w:bookmarkStart w:id="135" w:name="_Toc144974506"/>
      <w:bookmarkStart w:id="136" w:name="_Toc152042314"/>
      <w:bookmarkStart w:id="137" w:name="_Toc359334190"/>
      <w:bookmarkStart w:id="138" w:name="_Toc247527562"/>
      <w:r>
        <w:rPr>
          <w:rFonts w:hint="eastAsia" w:ascii="宋体" w:hAnsi="宋体" w:cs="宋体"/>
          <w:b/>
          <w:bCs/>
          <w:szCs w:val="21"/>
        </w:rPr>
        <w:t>1.8 计量单位</w:t>
      </w:r>
      <w:bookmarkEnd w:id="128"/>
      <w:bookmarkEnd w:id="129"/>
      <w:bookmarkEnd w:id="130"/>
      <w:bookmarkEnd w:id="131"/>
      <w:bookmarkEnd w:id="132"/>
      <w:bookmarkEnd w:id="133"/>
      <w:bookmarkEnd w:id="134"/>
      <w:bookmarkEnd w:id="135"/>
      <w:bookmarkEnd w:id="136"/>
      <w:bookmarkEnd w:id="137"/>
      <w:bookmarkEnd w:id="138"/>
    </w:p>
    <w:p>
      <w:pPr>
        <w:spacing w:line="360" w:lineRule="auto"/>
        <w:ind w:firstLine="420" w:firstLineChars="200"/>
        <w:rPr>
          <w:rFonts w:ascii="宋体" w:hAnsi="宋体" w:cs="宋体"/>
          <w:szCs w:val="21"/>
        </w:rPr>
      </w:pPr>
      <w:r>
        <w:rPr>
          <w:rFonts w:hint="eastAsia" w:ascii="宋体" w:hAnsi="宋体" w:cs="宋体"/>
          <w:szCs w:val="21"/>
        </w:rPr>
        <w:t>所有计量均采用中华人民共和国法定计量单位。</w:t>
      </w:r>
    </w:p>
    <w:p>
      <w:pPr>
        <w:spacing w:line="360" w:lineRule="auto"/>
        <w:ind w:firstLine="211" w:firstLineChars="100"/>
        <w:rPr>
          <w:rFonts w:ascii="宋体" w:hAnsi="宋体" w:cs="宋体"/>
          <w:b/>
          <w:bCs/>
          <w:szCs w:val="21"/>
        </w:rPr>
      </w:pPr>
      <w:bookmarkStart w:id="139" w:name="_Toc247527563"/>
      <w:bookmarkStart w:id="140" w:name="_Toc21544"/>
      <w:bookmarkStart w:id="141" w:name="_Toc350759237"/>
      <w:bookmarkStart w:id="142" w:name="_Toc247513962"/>
      <w:bookmarkStart w:id="143" w:name="_Toc152045539"/>
      <w:bookmarkStart w:id="144" w:name="_Toc359334191"/>
      <w:bookmarkStart w:id="145" w:name="_Toc359315085"/>
      <w:bookmarkStart w:id="146" w:name="_Toc152042315"/>
      <w:bookmarkStart w:id="147" w:name="_Toc144974507"/>
      <w:bookmarkStart w:id="148" w:name="_Toc906_WPSOffice_Level1"/>
      <w:bookmarkStart w:id="149" w:name="_Toc334103762"/>
      <w:r>
        <w:rPr>
          <w:rFonts w:hint="eastAsia" w:ascii="宋体" w:hAnsi="宋体" w:cs="宋体"/>
          <w:b/>
          <w:bCs/>
          <w:szCs w:val="21"/>
        </w:rPr>
        <w:t>1.9 踏勘现场</w:t>
      </w:r>
      <w:bookmarkEnd w:id="139"/>
      <w:bookmarkEnd w:id="140"/>
      <w:bookmarkEnd w:id="141"/>
      <w:bookmarkEnd w:id="142"/>
      <w:bookmarkEnd w:id="143"/>
      <w:bookmarkEnd w:id="144"/>
      <w:bookmarkEnd w:id="145"/>
      <w:bookmarkEnd w:id="146"/>
      <w:bookmarkEnd w:id="147"/>
      <w:bookmarkEnd w:id="148"/>
      <w:bookmarkEnd w:id="149"/>
    </w:p>
    <w:p>
      <w:pPr>
        <w:spacing w:line="360" w:lineRule="auto"/>
        <w:ind w:firstLine="420" w:firstLineChars="200"/>
        <w:rPr>
          <w:rFonts w:ascii="宋体" w:hAnsi="宋体" w:cs="宋体"/>
          <w:szCs w:val="21"/>
        </w:rPr>
      </w:pPr>
      <w:r>
        <w:rPr>
          <w:rFonts w:hint="eastAsia" w:ascii="宋体" w:hAnsi="宋体" w:cs="宋体"/>
          <w:szCs w:val="21"/>
        </w:rPr>
        <w:t xml:space="preserve">1.9.1 如服务商须知前附表规定组织踏勘现场的，采购人按服务商须知前附表规定的时间、地点组织服务商踏勘项目现场。 </w:t>
      </w:r>
    </w:p>
    <w:p>
      <w:pPr>
        <w:spacing w:line="360" w:lineRule="auto"/>
        <w:ind w:firstLine="420" w:firstLineChars="200"/>
        <w:rPr>
          <w:rFonts w:ascii="宋体" w:hAnsi="宋体" w:cs="宋体"/>
          <w:szCs w:val="21"/>
        </w:rPr>
      </w:pPr>
      <w:r>
        <w:rPr>
          <w:rFonts w:hint="eastAsia" w:ascii="宋体" w:hAnsi="宋体" w:cs="宋体"/>
          <w:szCs w:val="21"/>
        </w:rPr>
        <w:t>1.9.2 服务商踏勘现场发生的费用自理。</w:t>
      </w:r>
    </w:p>
    <w:p>
      <w:pPr>
        <w:spacing w:line="360" w:lineRule="auto"/>
        <w:ind w:firstLine="420" w:firstLineChars="200"/>
        <w:rPr>
          <w:rFonts w:ascii="宋体" w:hAnsi="宋体" w:cs="宋体"/>
          <w:szCs w:val="21"/>
        </w:rPr>
      </w:pPr>
      <w:r>
        <w:rPr>
          <w:rFonts w:hint="eastAsia" w:ascii="宋体" w:hAnsi="宋体" w:cs="宋体"/>
          <w:szCs w:val="21"/>
        </w:rPr>
        <w:t>1.9.3 除采购人的原因外，服务商自行负责在踏勘现场中所发生的人员伤亡和财产损失。</w:t>
      </w:r>
    </w:p>
    <w:p>
      <w:pPr>
        <w:spacing w:line="360" w:lineRule="auto"/>
        <w:ind w:firstLine="420" w:firstLineChars="200"/>
        <w:rPr>
          <w:rFonts w:ascii="宋体" w:hAnsi="宋体" w:cs="宋体"/>
          <w:szCs w:val="21"/>
        </w:rPr>
      </w:pPr>
      <w:r>
        <w:rPr>
          <w:rFonts w:hint="eastAsia" w:ascii="宋体" w:hAnsi="宋体" w:cs="宋体"/>
          <w:szCs w:val="21"/>
        </w:rPr>
        <w:t>1.9.4 采购人在踏勘现场中介绍的工程场地和相关的周边环境情况，服务商在编制响应文件时参考，采购人不对服务商据此作出的判断和决策负责。</w:t>
      </w:r>
    </w:p>
    <w:p>
      <w:pPr>
        <w:spacing w:line="360" w:lineRule="auto"/>
        <w:ind w:firstLine="211" w:firstLineChars="100"/>
        <w:rPr>
          <w:rFonts w:ascii="宋体" w:hAnsi="宋体" w:cs="宋体"/>
          <w:b/>
          <w:bCs/>
          <w:szCs w:val="21"/>
        </w:rPr>
      </w:pPr>
      <w:bookmarkStart w:id="150" w:name="_Toc152045540"/>
      <w:bookmarkStart w:id="151" w:name="_Toc152042316"/>
      <w:bookmarkStart w:id="152" w:name="_Toc27673"/>
      <w:bookmarkStart w:id="153" w:name="_Toc334103763"/>
      <w:bookmarkStart w:id="154" w:name="_Toc350759238"/>
      <w:bookmarkStart w:id="155" w:name="_Toc247527564"/>
      <w:bookmarkStart w:id="156" w:name="_Toc144974508"/>
      <w:bookmarkStart w:id="157" w:name="_Toc7237_WPSOffice_Level1"/>
      <w:bookmarkStart w:id="158" w:name="_Toc247513963"/>
      <w:bookmarkStart w:id="159" w:name="_Toc359315086"/>
      <w:bookmarkStart w:id="160" w:name="_Toc359334192"/>
      <w:r>
        <w:rPr>
          <w:rFonts w:hint="eastAsia" w:ascii="宋体" w:hAnsi="宋体" w:cs="宋体"/>
          <w:b/>
          <w:bCs/>
          <w:szCs w:val="21"/>
        </w:rPr>
        <w:t>1.10 询比预备会</w:t>
      </w:r>
      <w:bookmarkEnd w:id="150"/>
      <w:bookmarkEnd w:id="151"/>
      <w:bookmarkEnd w:id="152"/>
      <w:bookmarkEnd w:id="153"/>
      <w:bookmarkEnd w:id="154"/>
      <w:bookmarkEnd w:id="155"/>
      <w:bookmarkEnd w:id="156"/>
      <w:bookmarkEnd w:id="157"/>
      <w:bookmarkEnd w:id="158"/>
      <w:bookmarkEnd w:id="159"/>
      <w:bookmarkEnd w:id="160"/>
    </w:p>
    <w:p>
      <w:pPr>
        <w:spacing w:line="360" w:lineRule="auto"/>
        <w:ind w:firstLine="420" w:firstLineChars="200"/>
        <w:rPr>
          <w:rFonts w:ascii="宋体" w:hAnsi="宋体" w:cs="宋体"/>
          <w:szCs w:val="21"/>
        </w:rPr>
      </w:pPr>
      <w:r>
        <w:rPr>
          <w:rFonts w:hint="eastAsia" w:ascii="宋体" w:hAnsi="宋体" w:cs="宋体"/>
          <w:szCs w:val="21"/>
        </w:rPr>
        <w:t>1.10.1 如服务商须知前附表规定召开询比预备会的，采购人按服务商须知前附表规定的时间和地点召开询比预备会，澄清服务商提出的问题。</w:t>
      </w:r>
    </w:p>
    <w:p>
      <w:pPr>
        <w:spacing w:line="360" w:lineRule="auto"/>
        <w:ind w:firstLine="420" w:firstLineChars="200"/>
        <w:rPr>
          <w:rFonts w:ascii="宋体" w:hAnsi="宋体" w:cs="宋体"/>
          <w:szCs w:val="21"/>
        </w:rPr>
      </w:pPr>
      <w:r>
        <w:rPr>
          <w:rFonts w:hint="eastAsia" w:ascii="宋体" w:hAnsi="宋体" w:cs="宋体"/>
          <w:szCs w:val="21"/>
        </w:rPr>
        <w:t>1.10.2 服务商应在服务商须知前附表规定的时间前，以书面形式将提出的问题送达采购人，以便采购人在会议期间澄清。</w:t>
      </w:r>
    </w:p>
    <w:p>
      <w:pPr>
        <w:spacing w:line="360" w:lineRule="auto"/>
        <w:ind w:firstLine="420" w:firstLineChars="200"/>
        <w:rPr>
          <w:rFonts w:ascii="宋体" w:hAnsi="宋体" w:cs="宋体"/>
          <w:szCs w:val="21"/>
        </w:rPr>
      </w:pPr>
      <w:r>
        <w:rPr>
          <w:rFonts w:hint="eastAsia" w:ascii="宋体" w:hAnsi="宋体" w:cs="宋体"/>
          <w:szCs w:val="21"/>
        </w:rPr>
        <w:t>1.10.3 询比预备会后，采购人在服务商须知前附表规定的时间内，将对服务商所提问题的澄清，以书面形式通知所有购买采购文件的服务商。该澄清内容为采购文件的组成部分。</w:t>
      </w:r>
    </w:p>
    <w:p>
      <w:pPr>
        <w:spacing w:line="360" w:lineRule="auto"/>
        <w:ind w:firstLine="211" w:firstLineChars="100"/>
        <w:rPr>
          <w:rFonts w:ascii="宋体" w:hAnsi="宋体" w:cs="宋体"/>
          <w:b/>
          <w:bCs/>
          <w:szCs w:val="21"/>
        </w:rPr>
      </w:pPr>
      <w:bookmarkStart w:id="161" w:name="_Toc359315087"/>
      <w:bookmarkStart w:id="162" w:name="_Toc1356"/>
      <w:bookmarkStart w:id="163" w:name="_Toc144974509"/>
      <w:bookmarkStart w:id="164" w:name="_Toc12498_WPSOffice_Level1"/>
      <w:bookmarkStart w:id="165" w:name="_Toc359334193"/>
      <w:bookmarkStart w:id="166" w:name="_Toc152045541"/>
      <w:bookmarkStart w:id="167" w:name="_Toc247527565"/>
      <w:bookmarkStart w:id="168" w:name="_Toc334103764"/>
      <w:bookmarkStart w:id="169" w:name="_Toc247513964"/>
      <w:bookmarkStart w:id="170" w:name="_Toc350759239"/>
      <w:bookmarkStart w:id="171" w:name="_Toc152042317"/>
      <w:r>
        <w:rPr>
          <w:rFonts w:hint="eastAsia" w:ascii="宋体" w:hAnsi="宋体" w:cs="宋体"/>
          <w:b/>
          <w:bCs/>
          <w:szCs w:val="21"/>
        </w:rPr>
        <w:t>1.11 分包</w:t>
      </w:r>
      <w:bookmarkEnd w:id="161"/>
      <w:bookmarkEnd w:id="162"/>
      <w:bookmarkEnd w:id="163"/>
      <w:bookmarkEnd w:id="164"/>
      <w:bookmarkEnd w:id="165"/>
      <w:bookmarkEnd w:id="166"/>
      <w:bookmarkEnd w:id="167"/>
      <w:bookmarkEnd w:id="168"/>
      <w:bookmarkEnd w:id="169"/>
      <w:bookmarkEnd w:id="170"/>
      <w:bookmarkEnd w:id="171"/>
    </w:p>
    <w:p>
      <w:pPr>
        <w:spacing w:line="360" w:lineRule="auto"/>
        <w:ind w:firstLine="420" w:firstLineChars="200"/>
        <w:rPr>
          <w:rFonts w:ascii="宋体" w:hAnsi="宋体" w:cs="宋体"/>
          <w:szCs w:val="21"/>
        </w:rPr>
      </w:pPr>
      <w:r>
        <w:rPr>
          <w:rFonts w:hint="eastAsia" w:ascii="宋体" w:hAnsi="宋体" w:cs="宋体"/>
          <w:szCs w:val="21"/>
        </w:rPr>
        <w:t>服务商须知前附表规定应当由分包人实施的工作，服务商应当按照第四章“服务商服务要求”的规定提供分包人侯选名单及其相应资料（询比方取得的与分包商协议的书面承诺材料）。</w:t>
      </w:r>
    </w:p>
    <w:p>
      <w:pPr>
        <w:spacing w:line="360" w:lineRule="auto"/>
        <w:ind w:firstLine="211" w:firstLineChars="100"/>
        <w:rPr>
          <w:rFonts w:ascii="宋体" w:hAnsi="宋体" w:cs="宋体"/>
          <w:b/>
          <w:bCs/>
          <w:szCs w:val="21"/>
        </w:rPr>
      </w:pPr>
      <w:bookmarkStart w:id="172" w:name="_Toc21536_WPSOffice_Level1"/>
      <w:bookmarkStart w:id="173" w:name="_Toc334103765"/>
      <w:bookmarkStart w:id="174" w:name="_Toc28629"/>
      <w:bookmarkStart w:id="175" w:name="_Toc359315088"/>
      <w:bookmarkStart w:id="176" w:name="_Toc350759240"/>
      <w:bookmarkStart w:id="177" w:name="_Toc247527566"/>
      <w:bookmarkStart w:id="178" w:name="_Toc247513965"/>
      <w:bookmarkStart w:id="179" w:name="_Toc359334194"/>
      <w:r>
        <w:rPr>
          <w:rFonts w:hint="eastAsia" w:ascii="宋体" w:hAnsi="宋体" w:cs="宋体"/>
          <w:b/>
          <w:bCs/>
          <w:szCs w:val="21"/>
        </w:rPr>
        <w:t xml:space="preserve">1.12 </w:t>
      </w:r>
      <w:bookmarkEnd w:id="172"/>
      <w:bookmarkEnd w:id="173"/>
      <w:bookmarkEnd w:id="174"/>
      <w:bookmarkEnd w:id="175"/>
      <w:bookmarkEnd w:id="176"/>
      <w:bookmarkEnd w:id="177"/>
      <w:bookmarkEnd w:id="178"/>
      <w:bookmarkEnd w:id="179"/>
      <w:r>
        <w:rPr>
          <w:rFonts w:hint="eastAsia" w:ascii="宋体" w:hAnsi="宋体"/>
          <w:b/>
          <w:szCs w:val="21"/>
        </w:rPr>
        <w:t>响应和偏差</w:t>
      </w:r>
    </w:p>
    <w:p>
      <w:pPr>
        <w:spacing w:line="360" w:lineRule="auto"/>
        <w:ind w:firstLine="420" w:firstLineChars="200"/>
        <w:rPr>
          <w:rFonts w:ascii="宋体" w:hAnsi="宋体" w:cs="宋体"/>
          <w:szCs w:val="21"/>
        </w:rPr>
      </w:pPr>
      <w:bookmarkStart w:id="180" w:name="_Toc359315089"/>
      <w:bookmarkStart w:id="181" w:name="_Toc247527567"/>
      <w:bookmarkStart w:id="182" w:name="_Toc359334195"/>
      <w:bookmarkStart w:id="183" w:name="_Toc152045542"/>
      <w:bookmarkStart w:id="184" w:name="_Toc144974510"/>
      <w:bookmarkStart w:id="185" w:name="_Toc334103766"/>
      <w:bookmarkStart w:id="186" w:name="_Toc152042318"/>
      <w:bookmarkStart w:id="187" w:name="_Toc350759241"/>
      <w:bookmarkStart w:id="188" w:name="_Toc247513966"/>
      <w:bookmarkStart w:id="189" w:name="_Toc16962"/>
      <w:r>
        <w:rPr>
          <w:rFonts w:hint="eastAsia" w:ascii="宋体" w:hAnsi="宋体" w:cs="宋体"/>
          <w:szCs w:val="21"/>
        </w:rPr>
        <w:t>1.12.1响应文件应当对采购文件的实质性要求和条件作出满足性或更有利于采购人的响应，否则，响应文件按无效处理。</w:t>
      </w:r>
    </w:p>
    <w:p>
      <w:pPr>
        <w:spacing w:line="360" w:lineRule="auto"/>
        <w:ind w:firstLine="420" w:firstLineChars="200"/>
        <w:rPr>
          <w:rFonts w:ascii="宋体" w:hAnsi="宋体" w:cs="宋体"/>
          <w:szCs w:val="21"/>
        </w:rPr>
      </w:pPr>
      <w:r>
        <w:rPr>
          <w:rFonts w:hint="eastAsia" w:ascii="宋体" w:hAnsi="宋体" w:cs="宋体"/>
          <w:szCs w:val="21"/>
        </w:rPr>
        <w:t>1.12.2服务商应根据采购文件的要求提供服务方案等内容以对采购文件作出响应。</w:t>
      </w:r>
    </w:p>
    <w:p>
      <w:pPr>
        <w:spacing w:line="360" w:lineRule="auto"/>
        <w:ind w:firstLine="420" w:firstLineChars="200"/>
        <w:rPr>
          <w:rFonts w:ascii="宋体" w:hAnsi="宋体" w:cs="宋体"/>
          <w:szCs w:val="21"/>
        </w:rPr>
      </w:pPr>
      <w:r>
        <w:rPr>
          <w:rFonts w:hint="eastAsia" w:ascii="宋体" w:hAnsi="宋体" w:cs="宋体"/>
          <w:szCs w:val="21"/>
        </w:rPr>
        <w:t>1.12.3响应文件对采购文件的全部偏差，均应在响应文件的响应文件偏差表中列明，除列明的内容外，视为服务商响应采购文件的全部要求。</w:t>
      </w:r>
    </w:p>
    <w:p>
      <w:pPr>
        <w:spacing w:line="360" w:lineRule="auto"/>
        <w:ind w:firstLine="211" w:firstLineChars="100"/>
        <w:rPr>
          <w:rFonts w:ascii="宋体" w:hAnsi="宋体" w:cs="宋体"/>
          <w:b/>
          <w:bCs/>
          <w:szCs w:val="21"/>
        </w:rPr>
      </w:pPr>
      <w:r>
        <w:rPr>
          <w:rFonts w:hint="eastAsia" w:ascii="宋体" w:hAnsi="宋体" w:cs="宋体"/>
          <w:b/>
          <w:bCs/>
          <w:szCs w:val="21"/>
        </w:rPr>
        <w:t>1.13 资格审查方式</w:t>
      </w:r>
    </w:p>
    <w:p>
      <w:pPr>
        <w:spacing w:line="360" w:lineRule="auto"/>
        <w:ind w:firstLine="420" w:firstLineChars="200"/>
        <w:rPr>
          <w:rFonts w:ascii="宋体" w:hAnsi="宋体" w:cs="宋体"/>
          <w:szCs w:val="21"/>
        </w:rPr>
      </w:pPr>
      <w:r>
        <w:rPr>
          <w:rFonts w:hint="eastAsia" w:ascii="宋体" w:hAnsi="宋体" w:cs="宋体"/>
          <w:szCs w:val="21"/>
        </w:rPr>
        <w:t>本项目资格审查方式见服务商须知前附表。</w:t>
      </w:r>
    </w:p>
    <w:p>
      <w:pPr>
        <w:spacing w:line="360" w:lineRule="auto"/>
        <w:rPr>
          <w:rFonts w:ascii="宋体" w:hAnsi="宋体" w:cs="宋体"/>
          <w:b/>
          <w:bCs/>
          <w:szCs w:val="21"/>
        </w:rPr>
      </w:pPr>
      <w:r>
        <w:rPr>
          <w:rFonts w:hint="eastAsia" w:ascii="宋体" w:hAnsi="宋体" w:cs="宋体"/>
          <w:b/>
          <w:bCs/>
          <w:szCs w:val="21"/>
        </w:rPr>
        <w:t xml:space="preserve">2. </w:t>
      </w:r>
      <w:bookmarkEnd w:id="180"/>
      <w:bookmarkEnd w:id="181"/>
      <w:bookmarkEnd w:id="182"/>
      <w:bookmarkEnd w:id="183"/>
      <w:bookmarkEnd w:id="184"/>
      <w:bookmarkEnd w:id="185"/>
      <w:bookmarkEnd w:id="186"/>
      <w:bookmarkEnd w:id="187"/>
      <w:bookmarkEnd w:id="188"/>
      <w:bookmarkEnd w:id="189"/>
      <w:r>
        <w:rPr>
          <w:rFonts w:hint="eastAsia" w:ascii="宋体" w:hAnsi="宋体" w:cs="宋体"/>
          <w:b/>
          <w:bCs/>
          <w:szCs w:val="21"/>
        </w:rPr>
        <w:t>采购文件</w:t>
      </w:r>
    </w:p>
    <w:p>
      <w:pPr>
        <w:spacing w:line="360" w:lineRule="auto"/>
        <w:ind w:firstLine="211" w:firstLineChars="100"/>
        <w:rPr>
          <w:rFonts w:ascii="宋体" w:hAnsi="宋体" w:cs="宋体"/>
          <w:b/>
          <w:bCs/>
          <w:szCs w:val="21"/>
        </w:rPr>
      </w:pPr>
      <w:bookmarkStart w:id="190" w:name="_Toc144974511"/>
      <w:bookmarkStart w:id="191" w:name="_Toc247513967"/>
      <w:bookmarkStart w:id="192" w:name="_Toc334103767"/>
      <w:bookmarkStart w:id="193" w:name="_Toc152045543"/>
      <w:bookmarkStart w:id="194" w:name="_Toc152042319"/>
      <w:bookmarkStart w:id="195" w:name="_Toc359334196"/>
      <w:bookmarkStart w:id="196" w:name="_Toc247527568"/>
      <w:bookmarkStart w:id="197" w:name="_Toc350759242"/>
      <w:bookmarkStart w:id="198" w:name="_Toc359315090"/>
      <w:bookmarkStart w:id="199" w:name="_Toc14223"/>
      <w:r>
        <w:rPr>
          <w:rFonts w:hint="eastAsia" w:ascii="宋体" w:hAnsi="宋体" w:cs="宋体"/>
          <w:b/>
          <w:bCs/>
          <w:szCs w:val="21"/>
        </w:rPr>
        <w:t>2.1 文件的组成</w:t>
      </w:r>
      <w:bookmarkEnd w:id="190"/>
      <w:bookmarkEnd w:id="191"/>
      <w:bookmarkEnd w:id="192"/>
      <w:bookmarkEnd w:id="193"/>
      <w:bookmarkEnd w:id="194"/>
      <w:bookmarkEnd w:id="195"/>
      <w:bookmarkEnd w:id="196"/>
      <w:bookmarkEnd w:id="197"/>
      <w:bookmarkEnd w:id="198"/>
      <w:bookmarkEnd w:id="199"/>
    </w:p>
    <w:p>
      <w:pPr>
        <w:spacing w:line="360" w:lineRule="auto"/>
        <w:ind w:firstLine="420" w:firstLineChars="200"/>
        <w:rPr>
          <w:rFonts w:ascii="宋体" w:hAnsi="宋体" w:cs="宋体"/>
          <w:szCs w:val="21"/>
        </w:rPr>
      </w:pPr>
      <w:r>
        <w:rPr>
          <w:rFonts w:hint="eastAsia" w:ascii="宋体" w:hAnsi="宋体" w:cs="宋体"/>
          <w:szCs w:val="21"/>
        </w:rPr>
        <w:t>本采购文件包括：</w:t>
      </w:r>
    </w:p>
    <w:p>
      <w:pPr>
        <w:spacing w:line="360" w:lineRule="auto"/>
        <w:ind w:firstLine="283" w:firstLineChars="135"/>
        <w:rPr>
          <w:rFonts w:ascii="宋体" w:hAnsi="宋体" w:cs="宋体"/>
          <w:szCs w:val="21"/>
        </w:rPr>
      </w:pPr>
      <w:r>
        <w:rPr>
          <w:rFonts w:hint="eastAsia" w:ascii="宋体" w:hAnsi="宋体" w:cs="宋体"/>
          <w:szCs w:val="21"/>
        </w:rPr>
        <w:t>（1）询比采购公告；</w:t>
      </w:r>
    </w:p>
    <w:p>
      <w:pPr>
        <w:spacing w:line="360" w:lineRule="auto"/>
        <w:ind w:firstLine="283" w:firstLineChars="135"/>
        <w:rPr>
          <w:rFonts w:ascii="宋体" w:hAnsi="宋体" w:cs="宋体"/>
          <w:szCs w:val="21"/>
        </w:rPr>
      </w:pPr>
      <w:r>
        <w:rPr>
          <w:rFonts w:hint="eastAsia" w:ascii="宋体" w:hAnsi="宋体" w:cs="宋体"/>
          <w:szCs w:val="21"/>
        </w:rPr>
        <w:t>（2）服务商须知；</w:t>
      </w:r>
    </w:p>
    <w:p>
      <w:pPr>
        <w:spacing w:line="360" w:lineRule="auto"/>
        <w:ind w:firstLine="283" w:firstLineChars="135"/>
        <w:rPr>
          <w:rFonts w:ascii="宋体" w:hAnsi="宋体" w:cs="宋体"/>
          <w:szCs w:val="21"/>
        </w:rPr>
      </w:pPr>
      <w:r>
        <w:rPr>
          <w:rFonts w:hint="eastAsia" w:ascii="宋体" w:hAnsi="宋体" w:cs="宋体"/>
          <w:szCs w:val="21"/>
        </w:rPr>
        <w:t>（3）评审办法；</w:t>
      </w:r>
    </w:p>
    <w:p>
      <w:pPr>
        <w:spacing w:line="360" w:lineRule="auto"/>
        <w:ind w:firstLine="283" w:firstLineChars="135"/>
        <w:rPr>
          <w:rFonts w:ascii="宋体" w:hAnsi="宋体" w:cs="宋体"/>
          <w:szCs w:val="21"/>
        </w:rPr>
      </w:pPr>
      <w:r>
        <w:rPr>
          <w:rFonts w:hint="eastAsia" w:ascii="宋体" w:hAnsi="宋体" w:cs="宋体"/>
          <w:szCs w:val="21"/>
        </w:rPr>
        <w:t>（4）服务商服务要求；</w:t>
      </w:r>
    </w:p>
    <w:p>
      <w:pPr>
        <w:spacing w:line="360" w:lineRule="auto"/>
        <w:ind w:firstLine="283" w:firstLineChars="135"/>
        <w:rPr>
          <w:rFonts w:ascii="宋体" w:hAnsi="宋体" w:cs="宋体"/>
          <w:szCs w:val="21"/>
        </w:rPr>
      </w:pPr>
      <w:r>
        <w:rPr>
          <w:rFonts w:hint="eastAsia" w:ascii="宋体" w:hAnsi="宋体" w:cs="宋体"/>
          <w:szCs w:val="21"/>
        </w:rPr>
        <w:t>（5）合同条款及格式；</w:t>
      </w:r>
    </w:p>
    <w:p>
      <w:pPr>
        <w:spacing w:line="360" w:lineRule="auto"/>
        <w:ind w:firstLine="283" w:firstLineChars="135"/>
        <w:rPr>
          <w:rFonts w:ascii="宋体" w:hAnsi="宋体" w:cs="宋体"/>
          <w:szCs w:val="21"/>
        </w:rPr>
      </w:pPr>
      <w:r>
        <w:rPr>
          <w:rFonts w:hint="eastAsia" w:ascii="宋体" w:hAnsi="宋体" w:cs="宋体"/>
          <w:szCs w:val="21"/>
        </w:rPr>
        <w:t>（6）响应文件格式；</w:t>
      </w:r>
    </w:p>
    <w:p>
      <w:pPr>
        <w:spacing w:line="360" w:lineRule="auto"/>
        <w:ind w:firstLine="420" w:firstLineChars="200"/>
        <w:rPr>
          <w:rFonts w:ascii="宋体" w:hAnsi="宋体" w:cs="宋体"/>
          <w:szCs w:val="21"/>
        </w:rPr>
      </w:pPr>
      <w:r>
        <w:rPr>
          <w:rFonts w:hint="eastAsia" w:ascii="宋体" w:hAnsi="宋体" w:cs="宋体"/>
          <w:szCs w:val="21"/>
        </w:rPr>
        <w:t>根据本章第2.2款和第2.3款对采购文件所作的澄清、修改，构成采购文件的组成部分。</w:t>
      </w:r>
    </w:p>
    <w:p>
      <w:pPr>
        <w:spacing w:line="360" w:lineRule="auto"/>
        <w:ind w:firstLine="422" w:firstLineChars="200"/>
        <w:rPr>
          <w:rFonts w:ascii="宋体" w:hAnsi="宋体" w:cs="宋体"/>
          <w:b/>
          <w:bCs/>
          <w:szCs w:val="21"/>
        </w:rPr>
      </w:pPr>
      <w:bookmarkStart w:id="200" w:name="_Toc359334197"/>
      <w:bookmarkStart w:id="201" w:name="_Toc27096"/>
      <w:bookmarkStart w:id="202" w:name="_Toc247527569"/>
      <w:bookmarkStart w:id="203" w:name="_Toc144974512"/>
      <w:bookmarkStart w:id="204" w:name="_Toc359315091"/>
      <w:bookmarkStart w:id="205" w:name="_Toc152045544"/>
      <w:bookmarkStart w:id="206" w:name="_Toc152042320"/>
      <w:bookmarkStart w:id="207" w:name="_Toc247513968"/>
      <w:bookmarkStart w:id="208" w:name="_Toc334103768"/>
      <w:bookmarkStart w:id="209" w:name="_Toc350759243"/>
      <w:r>
        <w:rPr>
          <w:rFonts w:hint="eastAsia" w:ascii="宋体" w:hAnsi="宋体" w:cs="宋体"/>
          <w:b/>
          <w:bCs/>
          <w:szCs w:val="21"/>
        </w:rPr>
        <w:t>2.2 采购文件的澄清</w:t>
      </w:r>
      <w:bookmarkEnd w:id="200"/>
      <w:bookmarkEnd w:id="201"/>
      <w:bookmarkEnd w:id="202"/>
      <w:bookmarkEnd w:id="203"/>
      <w:bookmarkEnd w:id="204"/>
      <w:bookmarkEnd w:id="205"/>
      <w:bookmarkEnd w:id="206"/>
      <w:bookmarkEnd w:id="207"/>
      <w:bookmarkEnd w:id="208"/>
      <w:bookmarkEnd w:id="209"/>
    </w:p>
    <w:p>
      <w:pPr>
        <w:spacing w:line="360" w:lineRule="auto"/>
        <w:ind w:firstLine="420" w:firstLineChars="200"/>
        <w:rPr>
          <w:rFonts w:ascii="宋体" w:hAnsi="宋体" w:cs="宋体"/>
          <w:szCs w:val="21"/>
        </w:rPr>
      </w:pPr>
      <w:r>
        <w:rPr>
          <w:rFonts w:hint="eastAsia" w:ascii="宋体" w:hAnsi="宋体" w:cs="宋体"/>
          <w:szCs w:val="21"/>
        </w:rPr>
        <w:t>2.2.1 服务商应仔细阅读和检查采购文件的全部内容。如发现缺页或附件不全，应及时向采购人提出，以便补齐。如有疑问，应在服务商须知前附表规定的时间前以书面形式要求采购人对采购文件予以澄清。</w:t>
      </w:r>
    </w:p>
    <w:p>
      <w:pPr>
        <w:spacing w:line="360" w:lineRule="auto"/>
        <w:ind w:firstLine="420" w:firstLineChars="200"/>
        <w:rPr>
          <w:rFonts w:ascii="宋体" w:hAnsi="宋体" w:cs="宋体"/>
          <w:color w:val="000000"/>
          <w:szCs w:val="21"/>
        </w:rPr>
      </w:pPr>
      <w:r>
        <w:rPr>
          <w:rFonts w:ascii="宋体" w:hAnsi="宋体" w:cs="宋体"/>
          <w:color w:val="000000"/>
          <w:szCs w:val="21"/>
        </w:rPr>
        <w:t xml:space="preserve">2.2.2 </w:t>
      </w:r>
      <w:r>
        <w:rPr>
          <w:rFonts w:hint="eastAsia" w:ascii="宋体" w:hAnsi="宋体" w:cs="宋体"/>
          <w:color w:val="000000"/>
          <w:szCs w:val="21"/>
        </w:rPr>
        <w:t>采购文件的澄清以书面形式发给所有购买采购文件的服务商，但不指明澄清问题的来源。澄清发出的时间距服务商须知前附表规定的</w:t>
      </w:r>
      <w:r>
        <w:rPr>
          <w:rFonts w:hint="eastAsia" w:ascii="宋体" w:hAnsi="宋体"/>
          <w:color w:val="000000"/>
          <w:szCs w:val="21"/>
        </w:rPr>
        <w:t>响应文件递交截止时间不足</w:t>
      </w:r>
      <w:r>
        <w:rPr>
          <w:rFonts w:hint="eastAsia" w:ascii="宋体" w:hAnsi="宋体" w:cs="宋体"/>
          <w:color w:val="000000"/>
          <w:szCs w:val="21"/>
        </w:rPr>
        <w:t>3日的，并且澄清内容影响响应文件编制的，将相应延长</w:t>
      </w:r>
      <w:r>
        <w:rPr>
          <w:rFonts w:hint="eastAsia" w:ascii="宋体" w:hAnsi="宋体"/>
          <w:color w:val="000000"/>
          <w:szCs w:val="21"/>
        </w:rPr>
        <w:t>响应文件递交截止时间</w:t>
      </w:r>
      <w:r>
        <w:rPr>
          <w:rFonts w:hint="eastAsia" w:ascii="宋体" w:hAnsi="宋体" w:cs="宋体"/>
          <w:color w:val="000000"/>
          <w:szCs w:val="21"/>
        </w:rPr>
        <w:t>。</w:t>
      </w:r>
    </w:p>
    <w:p>
      <w:pPr>
        <w:spacing w:line="360" w:lineRule="auto"/>
        <w:ind w:firstLine="211" w:firstLineChars="100"/>
        <w:rPr>
          <w:rFonts w:ascii="宋体" w:hAnsi="宋体" w:cs="宋体"/>
          <w:b/>
          <w:bCs/>
          <w:szCs w:val="21"/>
        </w:rPr>
      </w:pPr>
      <w:bookmarkStart w:id="210" w:name="_Toc144974513"/>
      <w:bookmarkStart w:id="211" w:name="_Toc152042321"/>
      <w:bookmarkStart w:id="212" w:name="_Toc334103769"/>
      <w:bookmarkStart w:id="213" w:name="_Toc152045545"/>
      <w:bookmarkStart w:id="214" w:name="_Toc247513969"/>
      <w:bookmarkStart w:id="215" w:name="_Toc21662"/>
      <w:bookmarkStart w:id="216" w:name="_Toc247527570"/>
      <w:bookmarkStart w:id="217" w:name="_Toc359315092"/>
      <w:bookmarkStart w:id="218" w:name="_Toc350759244"/>
      <w:bookmarkStart w:id="219" w:name="_Toc359334198"/>
      <w:r>
        <w:rPr>
          <w:rFonts w:hint="eastAsia" w:ascii="宋体" w:hAnsi="宋体" w:cs="宋体"/>
          <w:b/>
          <w:bCs/>
          <w:szCs w:val="21"/>
        </w:rPr>
        <w:t xml:space="preserve">  2.3 采购文件的修改</w:t>
      </w:r>
      <w:bookmarkEnd w:id="210"/>
      <w:bookmarkEnd w:id="211"/>
      <w:bookmarkEnd w:id="212"/>
      <w:bookmarkEnd w:id="213"/>
      <w:bookmarkEnd w:id="214"/>
      <w:bookmarkEnd w:id="215"/>
      <w:bookmarkEnd w:id="216"/>
      <w:bookmarkEnd w:id="217"/>
      <w:bookmarkEnd w:id="218"/>
      <w:bookmarkEnd w:id="219"/>
    </w:p>
    <w:p>
      <w:pPr>
        <w:spacing w:line="360" w:lineRule="auto"/>
        <w:ind w:firstLine="420" w:firstLineChars="200"/>
        <w:rPr>
          <w:rFonts w:ascii="宋体" w:hAnsi="宋体" w:cs="宋体"/>
          <w:szCs w:val="21"/>
        </w:rPr>
      </w:pPr>
      <w:r>
        <w:rPr>
          <w:rFonts w:hint="eastAsia" w:ascii="宋体" w:hAnsi="宋体" w:cs="宋体"/>
          <w:szCs w:val="21"/>
        </w:rPr>
        <w:t>采购人可以书面形式修改采购文件，并通知所有已购买采购文件的服务商。修改采购文件的时间距服务商须知前附表规定的</w:t>
      </w:r>
      <w:r>
        <w:rPr>
          <w:rFonts w:hint="eastAsia" w:ascii="宋体" w:hAnsi="宋体"/>
          <w:szCs w:val="21"/>
        </w:rPr>
        <w:t>响应文件递交截止时间不足</w:t>
      </w:r>
      <w:r>
        <w:rPr>
          <w:rFonts w:hint="eastAsia" w:ascii="宋体" w:hAnsi="宋体" w:cs="宋体"/>
          <w:szCs w:val="21"/>
        </w:rPr>
        <w:t>3日的，并且澄清内容影响响应文件编制的，将相应延长</w:t>
      </w:r>
      <w:r>
        <w:rPr>
          <w:rFonts w:hint="eastAsia" w:ascii="宋体" w:hAnsi="宋体"/>
          <w:szCs w:val="21"/>
        </w:rPr>
        <w:t>响应文件递交截止时间</w:t>
      </w:r>
      <w:r>
        <w:rPr>
          <w:rFonts w:hint="eastAsia" w:ascii="宋体" w:hAnsi="宋体" w:cs="宋体"/>
          <w:szCs w:val="21"/>
        </w:rPr>
        <w:t>。</w:t>
      </w:r>
    </w:p>
    <w:p>
      <w:pPr>
        <w:spacing w:line="360" w:lineRule="auto"/>
        <w:rPr>
          <w:rFonts w:ascii="宋体" w:hAnsi="宋体" w:cs="宋体"/>
          <w:b/>
          <w:bCs/>
          <w:szCs w:val="21"/>
        </w:rPr>
      </w:pPr>
      <w:bookmarkStart w:id="220" w:name="_Toc359334199"/>
      <w:bookmarkStart w:id="221" w:name="_Toc359315093"/>
      <w:bookmarkStart w:id="222" w:name="_Toc152045546"/>
      <w:bookmarkStart w:id="223" w:name="_Toc334103770"/>
      <w:bookmarkStart w:id="224" w:name="_Toc247513970"/>
      <w:bookmarkStart w:id="225" w:name="_Toc350759245"/>
      <w:bookmarkStart w:id="226" w:name="_Toc9950"/>
      <w:bookmarkStart w:id="227" w:name="_Toc152042322"/>
      <w:bookmarkStart w:id="228" w:name="_Toc144974514"/>
      <w:bookmarkStart w:id="229" w:name="_Toc247527571"/>
      <w:r>
        <w:rPr>
          <w:rFonts w:hint="eastAsia" w:ascii="宋体" w:hAnsi="宋体" w:cs="宋体"/>
          <w:b/>
          <w:bCs/>
          <w:szCs w:val="21"/>
        </w:rPr>
        <w:t xml:space="preserve">    3. 响应文件</w:t>
      </w:r>
      <w:bookmarkEnd w:id="220"/>
      <w:bookmarkEnd w:id="221"/>
      <w:bookmarkEnd w:id="222"/>
      <w:bookmarkEnd w:id="223"/>
      <w:bookmarkEnd w:id="224"/>
      <w:bookmarkEnd w:id="225"/>
      <w:bookmarkEnd w:id="226"/>
      <w:bookmarkEnd w:id="227"/>
      <w:bookmarkEnd w:id="228"/>
      <w:bookmarkEnd w:id="229"/>
    </w:p>
    <w:p>
      <w:pPr>
        <w:spacing w:line="360" w:lineRule="auto"/>
        <w:ind w:firstLine="211" w:firstLineChars="100"/>
        <w:rPr>
          <w:rFonts w:ascii="宋体" w:hAnsi="宋体" w:cs="宋体"/>
          <w:b/>
          <w:bCs/>
          <w:szCs w:val="21"/>
        </w:rPr>
      </w:pPr>
      <w:bookmarkStart w:id="230" w:name="_Toc152045547"/>
      <w:bookmarkStart w:id="231" w:name="_Toc144974515"/>
      <w:bookmarkStart w:id="232" w:name="_Toc29206"/>
      <w:bookmarkStart w:id="233" w:name="_Toc152042323"/>
      <w:bookmarkStart w:id="234" w:name="_Toc359315094"/>
      <w:bookmarkStart w:id="235" w:name="_Toc334103771"/>
      <w:bookmarkStart w:id="236" w:name="_Toc350759246"/>
      <w:bookmarkStart w:id="237" w:name="_Toc359334200"/>
      <w:bookmarkStart w:id="238" w:name="_Toc247527572"/>
      <w:bookmarkStart w:id="239" w:name="_Toc247513971"/>
      <w:r>
        <w:rPr>
          <w:rFonts w:hint="eastAsia" w:ascii="宋体" w:hAnsi="宋体" w:cs="宋体"/>
          <w:b/>
          <w:bCs/>
          <w:szCs w:val="21"/>
        </w:rPr>
        <w:t xml:space="preserve">  3.1 响应文件的组成</w:t>
      </w:r>
      <w:bookmarkEnd w:id="230"/>
      <w:bookmarkEnd w:id="231"/>
      <w:bookmarkEnd w:id="232"/>
      <w:bookmarkEnd w:id="233"/>
      <w:bookmarkEnd w:id="234"/>
      <w:bookmarkEnd w:id="235"/>
      <w:bookmarkEnd w:id="236"/>
      <w:bookmarkEnd w:id="237"/>
      <w:bookmarkEnd w:id="238"/>
      <w:bookmarkEnd w:id="239"/>
    </w:p>
    <w:p>
      <w:pPr>
        <w:spacing w:line="360" w:lineRule="auto"/>
        <w:ind w:firstLine="420" w:firstLineChars="200"/>
        <w:rPr>
          <w:rFonts w:ascii="宋体" w:hAnsi="宋体" w:cs="宋体"/>
          <w:szCs w:val="21"/>
        </w:rPr>
      </w:pPr>
      <w:r>
        <w:rPr>
          <w:rFonts w:hint="eastAsia" w:ascii="宋体" w:hAnsi="宋体" w:cs="宋体"/>
          <w:szCs w:val="21"/>
        </w:rPr>
        <w:t>3.1.1 响应文件应包括下列内容：</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1）响应函</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2）法定代表人身份证明</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szCs w:val="21"/>
        </w:rPr>
        <w:t>法定代表人授权委托书</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4）价格清单</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）响应保证金</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服务商证明文件</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7）服务方案</w:t>
      </w:r>
    </w:p>
    <w:p>
      <w:pPr>
        <w:spacing w:line="360" w:lineRule="auto"/>
        <w:ind w:firstLine="420" w:firstLineChars="200"/>
        <w:rPr>
          <w:szCs w:val="21"/>
        </w:rPr>
      </w:pPr>
      <w:r>
        <w:rPr>
          <w:rFonts w:hint="eastAsia" w:ascii="宋体" w:hAnsi="宋体" w:cs="宋体"/>
          <w:szCs w:val="21"/>
        </w:rPr>
        <w:t>（</w:t>
      </w:r>
      <w:r>
        <w:rPr>
          <w:rFonts w:ascii="宋体" w:hAnsi="宋体" w:cs="宋体"/>
          <w:szCs w:val="21"/>
        </w:rPr>
        <w:t>8）</w:t>
      </w:r>
      <w:r>
        <w:rPr>
          <w:rFonts w:hint="eastAsia"/>
          <w:szCs w:val="21"/>
        </w:rPr>
        <w:t>响应文件偏差表</w:t>
      </w:r>
    </w:p>
    <w:p>
      <w:pPr>
        <w:spacing w:line="360" w:lineRule="auto"/>
        <w:ind w:firstLine="420" w:firstLineChars="200"/>
        <w:rPr>
          <w:rFonts w:ascii="宋体" w:hAnsi="宋体" w:cs="宋体"/>
          <w:szCs w:val="21"/>
        </w:rPr>
      </w:pPr>
      <w:r>
        <w:rPr>
          <w:rFonts w:hint="eastAsia" w:ascii="宋体" w:hAnsi="宋体" w:cs="宋体"/>
          <w:szCs w:val="21"/>
        </w:rPr>
        <w:t>服务商在评审过程中作出的符合法律法规和采购文件规定的最终报价及澄清确认，构成响应文件的组成部分。</w:t>
      </w:r>
    </w:p>
    <w:p>
      <w:pPr>
        <w:spacing w:line="360" w:lineRule="auto"/>
        <w:ind w:firstLine="211" w:firstLineChars="100"/>
        <w:rPr>
          <w:rFonts w:ascii="宋体" w:hAnsi="宋体" w:cs="宋体"/>
          <w:b/>
          <w:bCs/>
          <w:szCs w:val="21"/>
        </w:rPr>
      </w:pPr>
      <w:bookmarkStart w:id="240" w:name="_Toc152045548"/>
      <w:bookmarkStart w:id="241" w:name="_Toc359315095"/>
      <w:bookmarkStart w:id="242" w:name="_Toc7540"/>
      <w:bookmarkStart w:id="243" w:name="_Toc334103772"/>
      <w:bookmarkStart w:id="244" w:name="_Toc247527573"/>
      <w:bookmarkStart w:id="245" w:name="_Toc359334201"/>
      <w:bookmarkStart w:id="246" w:name="_Toc350759247"/>
      <w:bookmarkStart w:id="247" w:name="_Toc247513972"/>
      <w:bookmarkStart w:id="248" w:name="_Toc152042324"/>
      <w:bookmarkStart w:id="249" w:name="_Toc144974516"/>
      <w:r>
        <w:rPr>
          <w:rFonts w:hint="eastAsia" w:ascii="宋体" w:hAnsi="宋体" w:cs="宋体"/>
          <w:b/>
          <w:bCs/>
          <w:szCs w:val="21"/>
        </w:rPr>
        <w:t xml:space="preserve">  3.2 响应报价</w:t>
      </w:r>
      <w:bookmarkEnd w:id="240"/>
      <w:bookmarkEnd w:id="241"/>
      <w:bookmarkEnd w:id="242"/>
      <w:bookmarkEnd w:id="243"/>
      <w:bookmarkEnd w:id="244"/>
      <w:bookmarkEnd w:id="245"/>
      <w:bookmarkEnd w:id="246"/>
      <w:bookmarkEnd w:id="247"/>
      <w:bookmarkEnd w:id="248"/>
      <w:bookmarkEnd w:id="249"/>
      <w:r>
        <w:rPr>
          <w:rFonts w:hint="eastAsia" w:ascii="宋体" w:hAnsi="宋体" w:cs="宋体"/>
          <w:b/>
          <w:bCs/>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3.2.1服务商应充分了解服务地点的位置、周边环境、道路、现场条件的限制以及影响响应报价的其他要素。服务商根据采购文件的要求，结合市场情况进行报价。</w:t>
      </w:r>
    </w:p>
    <w:p>
      <w:pPr>
        <w:spacing w:line="360" w:lineRule="auto"/>
        <w:ind w:firstLine="420" w:firstLineChars="200"/>
        <w:rPr>
          <w:rFonts w:ascii="宋体" w:hAnsi="宋体" w:cs="宋体"/>
          <w:szCs w:val="21"/>
        </w:rPr>
      </w:pPr>
      <w:r>
        <w:rPr>
          <w:rFonts w:hint="eastAsia" w:ascii="宋体" w:hAnsi="宋体" w:cs="宋体"/>
          <w:szCs w:val="21"/>
        </w:rPr>
        <w:t>3.2.2响应报价为最终目的地价，服务结束前所需报告设计编制、编辑、校对、印刷、项目通过、劳务、管理、利润、税金、合同条款规定的保险、政策性文件规定及合同包含的所有风险、责任以及服务商认为应计取的各项费用（指本询比文件所涵盖的所有内容，符合询比文件各项规定，其价格均包括在总报价中。</w:t>
      </w:r>
    </w:p>
    <w:p>
      <w:pPr>
        <w:spacing w:line="360" w:lineRule="auto"/>
        <w:ind w:firstLine="420" w:firstLineChars="200"/>
        <w:rPr>
          <w:rFonts w:ascii="宋体" w:hAnsi="宋体" w:cs="宋体"/>
          <w:szCs w:val="21"/>
        </w:rPr>
      </w:pPr>
      <w:r>
        <w:rPr>
          <w:rFonts w:hint="eastAsia" w:ascii="宋体" w:hAnsi="宋体" w:cs="宋体"/>
          <w:szCs w:val="21"/>
        </w:rPr>
        <w:t>3.2.3 服务商在响应文件递交截止时间前修改响应函中的响应报价总额，应同时修改响应文件“价格清单”中的相应报价，响应报价总额为各分项金额之和。此修改须符合本章第4.3款的有关要求。</w:t>
      </w:r>
    </w:p>
    <w:p>
      <w:pPr>
        <w:spacing w:line="360" w:lineRule="auto"/>
        <w:ind w:firstLine="420" w:firstLineChars="200"/>
        <w:rPr>
          <w:rFonts w:ascii="宋体" w:hAnsi="宋体" w:cs="宋体"/>
          <w:szCs w:val="21"/>
        </w:rPr>
      </w:pPr>
      <w:r>
        <w:rPr>
          <w:rFonts w:hint="eastAsia" w:ascii="宋体" w:hAnsi="宋体" w:cs="宋体"/>
          <w:szCs w:val="21"/>
        </w:rPr>
        <w:t>3.2.4 采购人设有最高限价的，服务商的响应报价不得超过最高限价，最高限价或其计算方法在服务商须知前附表中载明。</w:t>
      </w:r>
    </w:p>
    <w:p>
      <w:pPr>
        <w:spacing w:line="360" w:lineRule="auto"/>
        <w:ind w:firstLine="420" w:firstLineChars="200"/>
        <w:rPr>
          <w:rFonts w:ascii="宋体" w:hAnsi="宋体" w:cs="宋体"/>
          <w:szCs w:val="21"/>
        </w:rPr>
      </w:pPr>
      <w:r>
        <w:rPr>
          <w:rFonts w:hint="eastAsia" w:ascii="宋体" w:hAnsi="宋体" w:cs="宋体"/>
          <w:szCs w:val="21"/>
        </w:rPr>
        <w:t>3.2.5服务商</w:t>
      </w:r>
      <w:r>
        <w:rPr>
          <w:rFonts w:ascii="宋体" w:hAnsi="宋体" w:cs="宋体"/>
          <w:szCs w:val="21"/>
        </w:rPr>
        <w:t>应按第六章</w:t>
      </w:r>
      <w:r>
        <w:rPr>
          <w:rFonts w:hint="eastAsia" w:ascii="宋体" w:hAnsi="宋体" w:cs="宋体"/>
          <w:szCs w:val="21"/>
        </w:rPr>
        <w:t>“响应文件</w:t>
      </w:r>
      <w:r>
        <w:rPr>
          <w:rFonts w:ascii="宋体" w:hAnsi="宋体" w:cs="宋体"/>
          <w:szCs w:val="21"/>
        </w:rPr>
        <w:t>格式</w:t>
      </w:r>
      <w:r>
        <w:rPr>
          <w:rFonts w:hint="eastAsia" w:ascii="宋体" w:hAnsi="宋体" w:cs="宋体"/>
          <w:szCs w:val="21"/>
        </w:rPr>
        <w:t>”</w:t>
      </w:r>
      <w:r>
        <w:rPr>
          <w:rFonts w:ascii="宋体" w:hAnsi="宋体" w:cs="宋体"/>
          <w:szCs w:val="21"/>
        </w:rPr>
        <w:t>的要求在</w:t>
      </w:r>
      <w:r>
        <w:rPr>
          <w:rFonts w:hint="eastAsia" w:ascii="宋体" w:hAnsi="宋体" w:cs="宋体"/>
          <w:szCs w:val="21"/>
        </w:rPr>
        <w:t>响应函</w:t>
      </w:r>
      <w:r>
        <w:rPr>
          <w:rFonts w:ascii="宋体" w:hAnsi="宋体" w:cs="宋体"/>
          <w:szCs w:val="21"/>
        </w:rPr>
        <w:t>中进行报价</w:t>
      </w:r>
      <w:r>
        <w:rPr>
          <w:rFonts w:hint="eastAsia" w:ascii="宋体" w:hAnsi="宋体" w:cs="宋体"/>
          <w:szCs w:val="21"/>
        </w:rPr>
        <w:t>，响应文件中响应函的报价为服务商第一次报价。</w:t>
      </w:r>
    </w:p>
    <w:p>
      <w:pPr>
        <w:spacing w:line="360" w:lineRule="auto"/>
        <w:ind w:firstLine="420" w:firstLineChars="200"/>
        <w:rPr>
          <w:rFonts w:ascii="宋体" w:hAnsi="宋体" w:cs="宋体"/>
          <w:szCs w:val="21"/>
        </w:rPr>
      </w:pPr>
      <w:r>
        <w:rPr>
          <w:rFonts w:ascii="宋体" w:hAnsi="宋体" w:cs="宋体"/>
          <w:szCs w:val="21"/>
        </w:rPr>
        <w:t>3.2.6</w:t>
      </w:r>
      <w:r>
        <w:rPr>
          <w:rFonts w:hint="eastAsia" w:ascii="宋体" w:hAnsi="宋体" w:cs="宋体"/>
          <w:szCs w:val="21"/>
        </w:rPr>
        <w:t>服务商通过资格审查、初步评审后，询比小组所有成员与服务商代表分别进行询比，询比结束后，所有通过资格审查、初步评审的服务商须在规定的时间内提交最终报价，最终报价是服务商响应文件的有效组成部分。</w:t>
      </w:r>
    </w:p>
    <w:p>
      <w:pPr>
        <w:spacing w:line="360" w:lineRule="auto"/>
        <w:ind w:firstLine="420" w:firstLineChars="200"/>
        <w:rPr>
          <w:rFonts w:ascii="宋体" w:hAnsi="宋体" w:cs="宋体"/>
          <w:szCs w:val="21"/>
        </w:rPr>
      </w:pPr>
      <w:r>
        <w:rPr>
          <w:rFonts w:hint="eastAsia" w:ascii="宋体" w:hAnsi="宋体" w:cs="宋体"/>
          <w:szCs w:val="21"/>
        </w:rPr>
        <w:t>3.2.</w:t>
      </w:r>
      <w:r>
        <w:rPr>
          <w:rFonts w:ascii="宋体" w:hAnsi="宋体" w:cs="宋体"/>
          <w:szCs w:val="21"/>
        </w:rPr>
        <w:t>7</w:t>
      </w:r>
      <w:r>
        <w:rPr>
          <w:rFonts w:hint="eastAsia" w:ascii="宋体" w:hAnsi="宋体" w:cs="宋体"/>
          <w:szCs w:val="21"/>
        </w:rPr>
        <w:t xml:space="preserve"> 响应报价的其他要求见服务商须知前附表。</w:t>
      </w:r>
    </w:p>
    <w:p>
      <w:pPr>
        <w:spacing w:line="360" w:lineRule="auto"/>
        <w:ind w:firstLine="211" w:firstLineChars="100"/>
        <w:rPr>
          <w:rFonts w:ascii="宋体" w:hAnsi="宋体" w:cs="宋体"/>
          <w:b/>
          <w:bCs/>
          <w:szCs w:val="21"/>
        </w:rPr>
      </w:pPr>
      <w:bookmarkStart w:id="250" w:name="_Toc152042325"/>
      <w:bookmarkStart w:id="251" w:name="_Toc15218"/>
      <w:bookmarkStart w:id="252" w:name="_Toc359334202"/>
      <w:bookmarkStart w:id="253" w:name="_Toc350759248"/>
      <w:bookmarkStart w:id="254" w:name="_Toc152045549"/>
      <w:bookmarkStart w:id="255" w:name="_Toc334103773"/>
      <w:bookmarkStart w:id="256" w:name="_Toc144974517"/>
      <w:bookmarkStart w:id="257" w:name="_Toc247527574"/>
      <w:bookmarkStart w:id="258" w:name="_Toc359315096"/>
      <w:bookmarkStart w:id="259" w:name="_Toc247513973"/>
      <w:r>
        <w:rPr>
          <w:rFonts w:hint="eastAsia" w:ascii="宋体" w:hAnsi="宋体" w:cs="宋体"/>
          <w:b/>
          <w:bCs/>
          <w:szCs w:val="21"/>
        </w:rPr>
        <w:t xml:space="preserve">  3.3 响应文件的有效期</w:t>
      </w:r>
      <w:bookmarkEnd w:id="250"/>
      <w:bookmarkEnd w:id="251"/>
      <w:bookmarkEnd w:id="252"/>
      <w:bookmarkEnd w:id="253"/>
      <w:bookmarkEnd w:id="254"/>
      <w:bookmarkEnd w:id="255"/>
      <w:bookmarkEnd w:id="256"/>
      <w:bookmarkEnd w:id="257"/>
      <w:bookmarkEnd w:id="258"/>
      <w:bookmarkEnd w:id="259"/>
    </w:p>
    <w:p>
      <w:pPr>
        <w:spacing w:line="360" w:lineRule="auto"/>
        <w:ind w:firstLine="420" w:firstLineChars="200"/>
        <w:rPr>
          <w:rFonts w:ascii="宋体" w:hAnsi="宋体" w:cs="宋体"/>
          <w:szCs w:val="21"/>
        </w:rPr>
      </w:pPr>
      <w:r>
        <w:rPr>
          <w:rFonts w:hint="eastAsia" w:ascii="宋体" w:hAnsi="宋体" w:cs="宋体"/>
          <w:szCs w:val="21"/>
        </w:rPr>
        <w:t>3.3.1响应文件的有效期：见服务商须知前附表。</w:t>
      </w:r>
    </w:p>
    <w:p>
      <w:pPr>
        <w:spacing w:line="360" w:lineRule="auto"/>
        <w:ind w:firstLine="420" w:firstLineChars="200"/>
        <w:rPr>
          <w:rFonts w:ascii="宋体" w:hAnsi="宋体" w:cs="宋体"/>
          <w:szCs w:val="21"/>
        </w:rPr>
      </w:pPr>
      <w:r>
        <w:rPr>
          <w:rFonts w:hint="eastAsia" w:ascii="宋体" w:hAnsi="宋体" w:cs="宋体"/>
          <w:szCs w:val="21"/>
        </w:rPr>
        <w:t>3.3.2 在响应有效期内，服务商撤销或修改其响应文件的，应承担采购文件和法律规定的责任。</w:t>
      </w:r>
    </w:p>
    <w:p>
      <w:pPr>
        <w:spacing w:line="360" w:lineRule="auto"/>
        <w:ind w:firstLine="420" w:firstLineChars="200"/>
        <w:rPr>
          <w:rFonts w:ascii="宋体" w:hAnsi="宋体" w:cs="宋体"/>
          <w:szCs w:val="21"/>
        </w:rPr>
      </w:pPr>
      <w:r>
        <w:rPr>
          <w:rFonts w:hint="eastAsia" w:ascii="宋体" w:hAnsi="宋体" w:cs="宋体"/>
          <w:szCs w:val="21"/>
        </w:rPr>
        <w:t xml:space="preserve">3.3.3 出现特殊情况需要延长响应有效期的，采购人以书面形式通知所有服务商延长响应有效期。服务商同意延长的，应相应延长其响应保证金的有效期，但不得要求或被允许修改或撤销其响应文件；服务商拒绝延长的，其报价失效，但服务商有权收回其响应保证金。 </w:t>
      </w:r>
    </w:p>
    <w:p>
      <w:pPr>
        <w:spacing w:line="360" w:lineRule="auto"/>
        <w:ind w:firstLine="211" w:firstLineChars="100"/>
        <w:rPr>
          <w:rFonts w:ascii="宋体" w:hAnsi="宋体" w:cs="宋体"/>
          <w:b/>
          <w:bCs/>
          <w:szCs w:val="21"/>
        </w:rPr>
      </w:pPr>
      <w:bookmarkStart w:id="260" w:name="_Toc359334203"/>
      <w:bookmarkStart w:id="261" w:name="_Toc152045550"/>
      <w:bookmarkStart w:id="262" w:name="_Toc247527575"/>
      <w:bookmarkStart w:id="263" w:name="_Toc334103774"/>
      <w:bookmarkStart w:id="264" w:name="_Toc247513974"/>
      <w:bookmarkStart w:id="265" w:name="_Toc152042326"/>
      <w:bookmarkStart w:id="266" w:name="_Toc144974518"/>
      <w:bookmarkStart w:id="267" w:name="_Toc359315097"/>
      <w:bookmarkStart w:id="268" w:name="_Toc350759249"/>
      <w:bookmarkStart w:id="269" w:name="_Toc27553"/>
      <w:r>
        <w:rPr>
          <w:rFonts w:hint="eastAsia" w:ascii="宋体" w:hAnsi="宋体" w:cs="宋体"/>
          <w:b/>
          <w:bCs/>
          <w:szCs w:val="21"/>
        </w:rPr>
        <w:t xml:space="preserve">  3.4 响应保证金</w:t>
      </w:r>
      <w:bookmarkEnd w:id="260"/>
      <w:bookmarkEnd w:id="261"/>
      <w:bookmarkEnd w:id="262"/>
      <w:bookmarkEnd w:id="263"/>
      <w:bookmarkEnd w:id="264"/>
      <w:bookmarkEnd w:id="265"/>
      <w:bookmarkEnd w:id="266"/>
      <w:bookmarkEnd w:id="267"/>
      <w:bookmarkEnd w:id="268"/>
      <w:bookmarkEnd w:id="269"/>
    </w:p>
    <w:p>
      <w:pPr>
        <w:spacing w:line="360" w:lineRule="auto"/>
        <w:ind w:firstLine="420" w:firstLineChars="200"/>
        <w:rPr>
          <w:rFonts w:ascii="宋体" w:hAnsi="宋体" w:cs="宋体"/>
          <w:szCs w:val="21"/>
        </w:rPr>
      </w:pPr>
      <w:r>
        <w:rPr>
          <w:rFonts w:hint="eastAsia" w:ascii="宋体" w:hAnsi="宋体" w:cs="宋体"/>
          <w:szCs w:val="21"/>
        </w:rPr>
        <w:t>3.4.1 服务商在递交响应文件的同时，应按服务商须知前附表规定递交响应保证金，并作为其响应文件的组成部分。</w:t>
      </w:r>
    </w:p>
    <w:p>
      <w:pPr>
        <w:spacing w:line="360" w:lineRule="auto"/>
        <w:ind w:firstLine="420" w:firstLineChars="200"/>
        <w:rPr>
          <w:rFonts w:ascii="宋体" w:hAnsi="宋体" w:cs="宋体"/>
          <w:szCs w:val="21"/>
        </w:rPr>
      </w:pPr>
      <w:r>
        <w:rPr>
          <w:rFonts w:hint="eastAsia" w:ascii="宋体" w:hAnsi="宋体" w:cs="宋体"/>
          <w:szCs w:val="21"/>
        </w:rPr>
        <w:t>3.4.2 服务商不按本章第3.4.1项要求提交响应保证金的，询比小组将否决其响应。</w:t>
      </w:r>
    </w:p>
    <w:p>
      <w:pPr>
        <w:spacing w:line="360" w:lineRule="auto"/>
        <w:ind w:firstLine="420" w:firstLineChars="200"/>
        <w:rPr>
          <w:rFonts w:ascii="宋体" w:hAnsi="宋体" w:cs="宋体"/>
          <w:szCs w:val="21"/>
        </w:rPr>
      </w:pPr>
      <w:r>
        <w:rPr>
          <w:rFonts w:hint="eastAsia" w:ascii="宋体" w:hAnsi="宋体" w:cs="宋体"/>
          <w:szCs w:val="21"/>
        </w:rPr>
        <w:t>3.4.3 采购人与成交人签订合同后5日内，向成交人及未成交人的服务商退还响应保证金。</w:t>
      </w:r>
    </w:p>
    <w:p>
      <w:pPr>
        <w:spacing w:line="360" w:lineRule="auto"/>
        <w:ind w:firstLine="420" w:firstLineChars="200"/>
        <w:rPr>
          <w:rFonts w:ascii="宋体" w:hAnsi="宋体" w:cs="宋体"/>
          <w:szCs w:val="21"/>
        </w:rPr>
      </w:pPr>
      <w:r>
        <w:rPr>
          <w:rFonts w:hint="eastAsia" w:ascii="宋体" w:hAnsi="宋体" w:cs="宋体"/>
          <w:szCs w:val="21"/>
        </w:rPr>
        <w:t xml:space="preserve">3.4.4 有下列情形之一的，响应保证金将不予退还： </w:t>
      </w:r>
    </w:p>
    <w:p>
      <w:pPr>
        <w:spacing w:line="360" w:lineRule="auto"/>
        <w:ind w:firstLine="420" w:firstLineChars="200"/>
        <w:rPr>
          <w:rFonts w:ascii="宋体" w:hAnsi="宋体" w:cs="宋体"/>
          <w:szCs w:val="21"/>
        </w:rPr>
      </w:pPr>
      <w:r>
        <w:rPr>
          <w:rFonts w:hint="eastAsia" w:ascii="宋体" w:hAnsi="宋体" w:cs="宋体"/>
          <w:szCs w:val="21"/>
        </w:rPr>
        <w:t>（1）服务商在规定的响应有效期内撤销或修改其响应文件；</w:t>
      </w:r>
    </w:p>
    <w:p>
      <w:pPr>
        <w:spacing w:line="360" w:lineRule="auto"/>
        <w:ind w:firstLine="420" w:firstLineChars="200"/>
        <w:rPr>
          <w:rFonts w:ascii="宋体" w:hAnsi="宋体" w:cs="宋体"/>
          <w:szCs w:val="21"/>
        </w:rPr>
      </w:pPr>
      <w:r>
        <w:rPr>
          <w:rFonts w:hint="eastAsia" w:ascii="宋体" w:hAnsi="宋体" w:cs="宋体"/>
          <w:szCs w:val="21"/>
        </w:rPr>
        <w:t>（2）成交人在收到成交通知书后，无正当理由拒签合同或未按采购文件规定提交履约担保。</w:t>
      </w:r>
    </w:p>
    <w:p>
      <w:pPr>
        <w:spacing w:line="360" w:lineRule="auto"/>
        <w:ind w:firstLine="211" w:firstLineChars="100"/>
        <w:rPr>
          <w:rFonts w:ascii="宋体" w:hAnsi="宋体" w:cs="宋体"/>
          <w:b/>
          <w:bCs/>
          <w:szCs w:val="21"/>
        </w:rPr>
      </w:pPr>
      <w:bookmarkStart w:id="270" w:name="_Toc152045553"/>
      <w:bookmarkStart w:id="271" w:name="_Toc334103776"/>
      <w:bookmarkStart w:id="272" w:name="_Toc152042329"/>
      <w:bookmarkStart w:id="273" w:name="_Toc247513977"/>
      <w:bookmarkStart w:id="274" w:name="_Toc359334205"/>
      <w:bookmarkStart w:id="275" w:name="_Toc359315099"/>
      <w:bookmarkStart w:id="276" w:name="_Toc247527578"/>
      <w:bookmarkStart w:id="277" w:name="_Toc144974521"/>
      <w:bookmarkStart w:id="278" w:name="_Toc15690"/>
      <w:bookmarkStart w:id="279" w:name="_Toc350759251"/>
      <w:r>
        <w:rPr>
          <w:rFonts w:hint="eastAsia" w:ascii="宋体" w:hAnsi="宋体" w:cs="宋体"/>
          <w:b/>
          <w:bCs/>
          <w:szCs w:val="21"/>
        </w:rPr>
        <w:t>3.5 备选响应方案</w:t>
      </w:r>
      <w:bookmarkEnd w:id="270"/>
      <w:bookmarkEnd w:id="271"/>
      <w:bookmarkEnd w:id="272"/>
      <w:bookmarkEnd w:id="273"/>
      <w:bookmarkEnd w:id="274"/>
      <w:bookmarkEnd w:id="275"/>
      <w:bookmarkEnd w:id="276"/>
      <w:bookmarkEnd w:id="277"/>
      <w:bookmarkEnd w:id="278"/>
      <w:bookmarkEnd w:id="279"/>
    </w:p>
    <w:p>
      <w:pPr>
        <w:spacing w:line="360" w:lineRule="auto"/>
        <w:ind w:firstLine="420" w:firstLineChars="200"/>
        <w:rPr>
          <w:rFonts w:ascii="宋体" w:hAnsi="宋体" w:cs="宋体"/>
          <w:szCs w:val="21"/>
        </w:rPr>
      </w:pPr>
      <w:r>
        <w:rPr>
          <w:rFonts w:hint="eastAsia" w:ascii="宋体" w:hAnsi="宋体" w:cs="宋体"/>
          <w:szCs w:val="21"/>
        </w:rPr>
        <w:t>除服务商须知前附表另有规定外，服务商不得递交备选响应方案。</w:t>
      </w:r>
    </w:p>
    <w:p>
      <w:pPr>
        <w:spacing w:line="360" w:lineRule="auto"/>
        <w:ind w:firstLine="211" w:firstLineChars="100"/>
        <w:rPr>
          <w:rFonts w:ascii="宋体" w:hAnsi="宋体" w:cs="宋体"/>
          <w:b/>
          <w:bCs/>
          <w:szCs w:val="21"/>
        </w:rPr>
      </w:pPr>
      <w:bookmarkStart w:id="280" w:name="_Toc144974522"/>
      <w:bookmarkStart w:id="281" w:name="_Toc350759252"/>
      <w:bookmarkStart w:id="282" w:name="_Toc152045554"/>
      <w:bookmarkStart w:id="283" w:name="_Toc24475"/>
      <w:bookmarkStart w:id="284" w:name="_Toc247513978"/>
      <w:bookmarkStart w:id="285" w:name="_Toc359334206"/>
      <w:bookmarkStart w:id="286" w:name="_Toc334103777"/>
      <w:bookmarkStart w:id="287" w:name="_Toc152042330"/>
      <w:bookmarkStart w:id="288" w:name="_Toc247527579"/>
      <w:bookmarkStart w:id="289" w:name="_Toc359315100"/>
      <w:r>
        <w:rPr>
          <w:rFonts w:hint="eastAsia" w:ascii="宋体" w:hAnsi="宋体" w:cs="宋体"/>
          <w:b/>
          <w:bCs/>
          <w:szCs w:val="21"/>
        </w:rPr>
        <w:t>3.6 响应文件的编制</w:t>
      </w:r>
      <w:bookmarkEnd w:id="280"/>
      <w:bookmarkEnd w:id="281"/>
      <w:bookmarkEnd w:id="282"/>
      <w:bookmarkEnd w:id="283"/>
      <w:bookmarkEnd w:id="284"/>
      <w:bookmarkEnd w:id="285"/>
      <w:bookmarkEnd w:id="286"/>
      <w:bookmarkEnd w:id="287"/>
      <w:bookmarkEnd w:id="288"/>
      <w:bookmarkEnd w:id="289"/>
    </w:p>
    <w:p>
      <w:pPr>
        <w:spacing w:line="360" w:lineRule="auto"/>
        <w:ind w:firstLine="420" w:firstLineChars="200"/>
        <w:rPr>
          <w:rFonts w:ascii="宋体" w:hAnsi="宋体" w:cs="宋体"/>
          <w:szCs w:val="21"/>
        </w:rPr>
      </w:pPr>
      <w:r>
        <w:rPr>
          <w:rFonts w:hint="eastAsia" w:ascii="宋体" w:hAnsi="宋体" w:cs="宋体"/>
          <w:szCs w:val="21"/>
        </w:rPr>
        <w:t>3.6.1 响应文件应按第六章“响应文件格式”进行编写，</w:t>
      </w:r>
      <w:r>
        <w:rPr>
          <w:rFonts w:hint="eastAsia" w:ascii="宋体" w:hAnsi="宋体"/>
          <w:szCs w:val="21"/>
        </w:rPr>
        <w:t>同时编制目录及页码（至少显示2级目录），</w:t>
      </w:r>
      <w:r>
        <w:rPr>
          <w:rFonts w:hint="eastAsia" w:ascii="宋体" w:hAnsi="宋体" w:cs="宋体"/>
          <w:szCs w:val="21"/>
        </w:rPr>
        <w:t>如有必要，可以增加附页，作为响应文件的组成部分。</w:t>
      </w:r>
      <w:r>
        <w:rPr>
          <w:rFonts w:hint="eastAsia" w:ascii="宋体" w:hAnsi="宋体"/>
          <w:szCs w:val="21"/>
        </w:rPr>
        <w:t>服务商未按采购文件要求格式编制的响应文件，或响应文件编制混乱，由服务商自行承担其风险。</w:t>
      </w:r>
    </w:p>
    <w:p>
      <w:pPr>
        <w:spacing w:line="360" w:lineRule="auto"/>
        <w:ind w:firstLine="420" w:firstLineChars="200"/>
        <w:rPr>
          <w:rFonts w:ascii="宋体" w:hAnsi="宋体" w:cs="宋体"/>
          <w:szCs w:val="21"/>
        </w:rPr>
      </w:pPr>
      <w:r>
        <w:rPr>
          <w:rFonts w:hint="eastAsia" w:ascii="宋体" w:hAnsi="宋体" w:cs="宋体"/>
          <w:szCs w:val="21"/>
        </w:rPr>
        <w:t>3.6.2 响应文件应当对采购文件有关采购范围、响应有效期、服务期限、质量标准、采购人要求等实质性内容作出响应。</w:t>
      </w:r>
      <w:r>
        <w:rPr>
          <w:rFonts w:hint="eastAsia" w:ascii="宋体" w:hAnsi="宋体"/>
          <w:szCs w:val="21"/>
        </w:rPr>
        <w:t>响应文件在满足采购文件实质性要求的基础上，可以提出比采购文件要求更有利于采购人的承诺。</w:t>
      </w:r>
    </w:p>
    <w:p>
      <w:pPr>
        <w:spacing w:line="360" w:lineRule="auto"/>
        <w:ind w:firstLine="420" w:firstLineChars="200"/>
        <w:rPr>
          <w:rFonts w:ascii="宋体" w:hAnsi="宋体" w:cs="宋体"/>
          <w:szCs w:val="21"/>
        </w:rPr>
      </w:pPr>
      <w:r>
        <w:rPr>
          <w:rFonts w:hint="eastAsia" w:ascii="宋体" w:hAnsi="宋体" w:cs="宋体"/>
          <w:szCs w:val="21"/>
        </w:rPr>
        <w:t>3.6.3 响应文件应用不褪色的材料书写或打印，</w:t>
      </w:r>
      <w:r>
        <w:rPr>
          <w:rFonts w:hint="eastAsia" w:ascii="宋体" w:hAnsi="宋体"/>
          <w:szCs w:val="21"/>
        </w:rPr>
        <w:t>并按采购文件要求签字盖章。响应文件由法定代表人签字或盖章的，应附法定代表人身份证明原件，由服务商的法定代表人授权代理人签字的，响应文件应附由法定代表人签署的授权委托书。</w:t>
      </w:r>
      <w:r>
        <w:rPr>
          <w:rFonts w:hint="eastAsia" w:ascii="宋体" w:hAnsi="宋体" w:cs="宋体"/>
          <w:szCs w:val="21"/>
        </w:rPr>
        <w:t xml:space="preserve">响应文件应尽量避免涂改、行间插字或删除。如果出现上述情况，改动之处应加盖单位章或由服务商的法定代表人或其授权的代理人签字确认。签字或盖章的具体要求见服务商须知前附表。 </w:t>
      </w:r>
    </w:p>
    <w:p>
      <w:pPr>
        <w:spacing w:line="360" w:lineRule="auto"/>
        <w:ind w:firstLine="211" w:firstLineChars="100"/>
        <w:rPr>
          <w:rFonts w:ascii="宋体" w:hAnsi="宋体"/>
          <w:b/>
          <w:szCs w:val="21"/>
        </w:rPr>
      </w:pPr>
      <w:r>
        <w:rPr>
          <w:rFonts w:hint="eastAsia" w:ascii="宋体" w:hAnsi="宋体"/>
          <w:b/>
          <w:szCs w:val="21"/>
        </w:rPr>
        <w:t>3.</w:t>
      </w:r>
      <w:r>
        <w:rPr>
          <w:rFonts w:ascii="宋体" w:hAnsi="宋体"/>
          <w:b/>
          <w:szCs w:val="21"/>
        </w:rPr>
        <w:t>7</w:t>
      </w:r>
      <w:r>
        <w:rPr>
          <w:rFonts w:hint="eastAsia" w:ascii="宋体" w:hAnsi="宋体"/>
          <w:b/>
          <w:szCs w:val="21"/>
        </w:rPr>
        <w:t>响应文件装订</w:t>
      </w:r>
    </w:p>
    <w:p>
      <w:pPr>
        <w:spacing w:line="360" w:lineRule="auto"/>
        <w:ind w:firstLine="420"/>
        <w:rPr>
          <w:rFonts w:ascii="宋体" w:hAnsi="宋体"/>
          <w:szCs w:val="21"/>
        </w:rPr>
      </w:pPr>
      <w:r>
        <w:rPr>
          <w:rFonts w:hint="eastAsia" w:ascii="宋体" w:hAnsi="宋体" w:cs="宋体"/>
          <w:szCs w:val="21"/>
        </w:rPr>
        <w:t>具体装订要求见服务商须知前附表规定。</w:t>
      </w:r>
    </w:p>
    <w:p>
      <w:pPr>
        <w:spacing w:line="360" w:lineRule="auto"/>
        <w:ind w:firstLine="211" w:firstLineChars="100"/>
        <w:rPr>
          <w:rFonts w:ascii="宋体" w:hAnsi="宋体"/>
          <w:b/>
          <w:szCs w:val="21"/>
        </w:rPr>
      </w:pPr>
      <w:r>
        <w:rPr>
          <w:rFonts w:ascii="宋体" w:hAnsi="宋体"/>
          <w:b/>
          <w:szCs w:val="21"/>
        </w:rPr>
        <w:t>3.8</w:t>
      </w:r>
      <w:r>
        <w:rPr>
          <w:rFonts w:hint="eastAsia" w:ascii="宋体" w:hAnsi="宋体"/>
          <w:b/>
          <w:szCs w:val="21"/>
        </w:rPr>
        <w:t>响应文件要求</w:t>
      </w:r>
    </w:p>
    <w:p>
      <w:pPr>
        <w:spacing w:line="360" w:lineRule="auto"/>
        <w:ind w:firstLine="210" w:firstLineChars="100"/>
        <w:rPr>
          <w:rFonts w:ascii="宋体" w:hAnsi="宋体"/>
          <w:szCs w:val="21"/>
        </w:rPr>
      </w:pPr>
      <w:r>
        <w:rPr>
          <w:rFonts w:ascii="宋体" w:hAnsi="宋体"/>
          <w:szCs w:val="21"/>
        </w:rPr>
        <w:t>3.8.1</w:t>
      </w:r>
      <w:r>
        <w:rPr>
          <w:rFonts w:hint="eastAsia" w:ascii="宋体" w:hAnsi="宋体"/>
          <w:szCs w:val="21"/>
        </w:rPr>
        <w:t>响应文件：</w:t>
      </w:r>
      <w:r>
        <w:rPr>
          <w:rFonts w:hint="eastAsia" w:ascii="宋体" w:hAnsi="宋体" w:cs="宋体"/>
          <w:color w:val="000000"/>
          <w:szCs w:val="21"/>
        </w:rPr>
        <w:t>提供</w:t>
      </w:r>
      <w:r>
        <w:rPr>
          <w:rFonts w:ascii="宋体" w:hAnsi="宋体"/>
          <w:szCs w:val="21"/>
        </w:rPr>
        <w:t>PDF电子版响应文件（须按采购文件要求签字盖章），一份word电子版响应文件，均需能在office平台正常打开且可编辑。文件内容应与</w:t>
      </w:r>
      <w:r>
        <w:rPr>
          <w:rFonts w:hint="eastAsia" w:ascii="宋体" w:hAnsi="宋体"/>
          <w:szCs w:val="21"/>
        </w:rPr>
        <w:t>线下</w:t>
      </w:r>
      <w:r>
        <w:rPr>
          <w:rFonts w:ascii="宋体" w:hAnsi="宋体"/>
          <w:szCs w:val="21"/>
        </w:rPr>
        <w:t>递交响应文件内容一致</w:t>
      </w:r>
      <w:r>
        <w:rPr>
          <w:rFonts w:hint="eastAsia" w:ascii="宋体" w:hAnsi="宋体"/>
          <w:szCs w:val="21"/>
        </w:rPr>
        <w:t>，</w:t>
      </w:r>
      <w:r>
        <w:rPr>
          <w:rFonts w:hint="eastAsia" w:ascii="宋体" w:hAnsi="宋体" w:cs="宋体"/>
          <w:szCs w:val="21"/>
        </w:rPr>
        <w:t>书面响应文件1份正本，4份副本（U盘电子扫描件1份，与正本书面文件内容一致）</w:t>
      </w:r>
    </w:p>
    <w:p>
      <w:pPr>
        <w:spacing w:line="360" w:lineRule="auto"/>
        <w:rPr>
          <w:rFonts w:ascii="宋体" w:hAnsi="宋体" w:cs="宋体"/>
          <w:b/>
          <w:bCs/>
          <w:szCs w:val="21"/>
        </w:rPr>
      </w:pPr>
      <w:bookmarkStart w:id="290" w:name="_Toc359315101"/>
      <w:bookmarkStart w:id="291" w:name="_Toc152042331"/>
      <w:bookmarkStart w:id="292" w:name="_Toc350759253"/>
      <w:bookmarkStart w:id="293" w:name="_Toc144974523"/>
      <w:bookmarkStart w:id="294" w:name="_Toc334103778"/>
      <w:bookmarkStart w:id="295" w:name="_Toc14581"/>
      <w:bookmarkStart w:id="296" w:name="_Toc247527580"/>
      <w:bookmarkStart w:id="297" w:name="_Toc152045555"/>
      <w:bookmarkStart w:id="298" w:name="_Toc247513979"/>
      <w:bookmarkStart w:id="299" w:name="_Toc359334207"/>
      <w:r>
        <w:rPr>
          <w:rFonts w:ascii="宋体" w:hAnsi="宋体" w:cs="宋体"/>
          <w:b/>
          <w:bCs/>
          <w:szCs w:val="21"/>
        </w:rPr>
        <w:t xml:space="preserve">4. </w:t>
      </w:r>
      <w:bookmarkEnd w:id="290"/>
      <w:bookmarkEnd w:id="291"/>
      <w:bookmarkEnd w:id="292"/>
      <w:bookmarkEnd w:id="293"/>
      <w:bookmarkEnd w:id="294"/>
      <w:bookmarkEnd w:id="295"/>
      <w:bookmarkEnd w:id="296"/>
      <w:bookmarkEnd w:id="297"/>
      <w:bookmarkEnd w:id="298"/>
      <w:bookmarkEnd w:id="299"/>
      <w:r>
        <w:rPr>
          <w:rFonts w:hint="eastAsia" w:ascii="宋体" w:hAnsi="宋体"/>
          <w:b/>
          <w:szCs w:val="21"/>
        </w:rPr>
        <w:t>响应文件的密封和标记、递交、</w:t>
      </w:r>
      <w:r>
        <w:rPr>
          <w:rFonts w:ascii="宋体" w:hAnsi="宋体"/>
          <w:b/>
          <w:szCs w:val="21"/>
        </w:rPr>
        <w:t>修改与撤回</w:t>
      </w:r>
    </w:p>
    <w:p>
      <w:pPr>
        <w:spacing w:line="360" w:lineRule="auto"/>
        <w:ind w:firstLine="211" w:firstLineChars="100"/>
        <w:rPr>
          <w:rFonts w:ascii="宋体" w:hAnsi="宋体" w:cs="宋体"/>
          <w:b/>
          <w:bCs/>
          <w:szCs w:val="21"/>
        </w:rPr>
      </w:pPr>
      <w:bookmarkStart w:id="300" w:name="_Toc359334208"/>
      <w:bookmarkStart w:id="301" w:name="_Toc144974524"/>
      <w:bookmarkStart w:id="302" w:name="_Toc247513980"/>
      <w:bookmarkStart w:id="303" w:name="_Toc152042332"/>
      <w:bookmarkStart w:id="304" w:name="_Toc350759254"/>
      <w:bookmarkStart w:id="305" w:name="_Toc247527581"/>
      <w:bookmarkStart w:id="306" w:name="_Toc334103779"/>
      <w:bookmarkStart w:id="307" w:name="_Toc6515"/>
      <w:bookmarkStart w:id="308" w:name="_Toc152045556"/>
      <w:bookmarkStart w:id="309" w:name="_Toc359315102"/>
      <w:r>
        <w:rPr>
          <w:rFonts w:hint="eastAsia" w:ascii="宋体" w:hAnsi="宋体" w:cs="宋体"/>
          <w:b/>
          <w:bCs/>
          <w:szCs w:val="21"/>
        </w:rPr>
        <w:t>4.1 响应文件的密封和标记</w:t>
      </w:r>
      <w:bookmarkEnd w:id="300"/>
      <w:bookmarkEnd w:id="301"/>
      <w:bookmarkEnd w:id="302"/>
      <w:bookmarkEnd w:id="303"/>
      <w:bookmarkEnd w:id="304"/>
      <w:bookmarkEnd w:id="305"/>
      <w:bookmarkEnd w:id="306"/>
      <w:bookmarkEnd w:id="307"/>
      <w:bookmarkEnd w:id="308"/>
      <w:bookmarkEnd w:id="309"/>
    </w:p>
    <w:p>
      <w:pPr>
        <w:spacing w:line="360" w:lineRule="auto"/>
        <w:ind w:firstLine="420" w:firstLineChars="200"/>
        <w:rPr>
          <w:rFonts w:ascii="宋体" w:hAnsi="宋体" w:cs="宋体"/>
          <w:szCs w:val="21"/>
        </w:rPr>
      </w:pPr>
      <w:r>
        <w:rPr>
          <w:rFonts w:hint="eastAsia" w:ascii="宋体" w:hAnsi="宋体" w:cs="宋体"/>
          <w:szCs w:val="21"/>
        </w:rPr>
        <w:t>4.1.1</w:t>
      </w:r>
      <w:r>
        <w:rPr>
          <w:rFonts w:hint="eastAsia" w:ascii="宋体" w:hAnsi="宋体"/>
          <w:szCs w:val="21"/>
        </w:rPr>
        <w:t>响应文件的正本、副本、电子版装在一个封套中密封包装，并在封口处加盖“密封章”或单位公章。</w:t>
      </w:r>
    </w:p>
    <w:p>
      <w:pPr>
        <w:spacing w:line="360" w:lineRule="auto"/>
        <w:ind w:firstLine="420" w:firstLineChars="200"/>
        <w:rPr>
          <w:rFonts w:ascii="宋体" w:hAnsi="宋体" w:cs="宋体"/>
          <w:szCs w:val="21"/>
        </w:rPr>
      </w:pPr>
      <w:r>
        <w:rPr>
          <w:rFonts w:hint="eastAsia" w:ascii="宋体" w:hAnsi="宋体" w:cs="宋体"/>
          <w:szCs w:val="21"/>
        </w:rPr>
        <w:t>4.1.2 响应文件封套上应写明的内容见服务商须知前附表。</w:t>
      </w:r>
    </w:p>
    <w:p>
      <w:pPr>
        <w:spacing w:line="360" w:lineRule="auto"/>
        <w:ind w:firstLine="420" w:firstLineChars="200"/>
        <w:rPr>
          <w:rFonts w:ascii="宋体" w:hAnsi="宋体" w:cs="宋体"/>
          <w:szCs w:val="21"/>
        </w:rPr>
      </w:pPr>
      <w:r>
        <w:rPr>
          <w:rFonts w:hint="eastAsia" w:ascii="宋体" w:hAnsi="宋体" w:cs="宋体"/>
          <w:szCs w:val="21"/>
        </w:rPr>
        <w:t>4.1.3 未按本章第4.1.1项或第4.1.2项要求密封和加写标记的响应文件，采购人不予受理。</w:t>
      </w:r>
    </w:p>
    <w:p>
      <w:pPr>
        <w:spacing w:line="360" w:lineRule="auto"/>
        <w:ind w:firstLine="211" w:firstLineChars="100"/>
        <w:rPr>
          <w:rFonts w:ascii="宋体" w:hAnsi="宋体" w:cs="宋体"/>
          <w:b/>
          <w:bCs/>
          <w:szCs w:val="21"/>
        </w:rPr>
      </w:pPr>
      <w:bookmarkStart w:id="310" w:name="_Toc144974525"/>
      <w:bookmarkStart w:id="311" w:name="_Toc334103780"/>
      <w:bookmarkStart w:id="312" w:name="_Toc152045557"/>
      <w:bookmarkStart w:id="313" w:name="_Toc247527582"/>
      <w:bookmarkStart w:id="314" w:name="_Toc359315103"/>
      <w:bookmarkStart w:id="315" w:name="_Toc350759255"/>
      <w:bookmarkStart w:id="316" w:name="_Toc359334209"/>
      <w:bookmarkStart w:id="317" w:name="_Toc152042333"/>
      <w:bookmarkStart w:id="318" w:name="_Toc247513981"/>
      <w:r>
        <w:rPr>
          <w:rFonts w:hint="eastAsia" w:ascii="宋体" w:hAnsi="宋体" w:cs="宋体"/>
          <w:b/>
          <w:bCs/>
          <w:szCs w:val="21"/>
        </w:rPr>
        <w:t>4.2 响应文件的递交</w:t>
      </w:r>
      <w:bookmarkEnd w:id="310"/>
      <w:bookmarkEnd w:id="311"/>
      <w:bookmarkEnd w:id="312"/>
      <w:bookmarkEnd w:id="313"/>
      <w:bookmarkEnd w:id="314"/>
      <w:bookmarkEnd w:id="315"/>
      <w:bookmarkEnd w:id="316"/>
      <w:bookmarkEnd w:id="317"/>
      <w:bookmarkEnd w:id="318"/>
    </w:p>
    <w:p>
      <w:pPr>
        <w:spacing w:line="360" w:lineRule="auto"/>
        <w:ind w:firstLine="420" w:firstLineChars="200"/>
        <w:rPr>
          <w:rFonts w:ascii="宋体" w:hAnsi="宋体" w:cs="宋体"/>
          <w:szCs w:val="21"/>
        </w:rPr>
      </w:pPr>
      <w:r>
        <w:rPr>
          <w:rFonts w:hint="eastAsia" w:ascii="宋体" w:hAnsi="宋体" w:cs="宋体"/>
          <w:szCs w:val="21"/>
        </w:rPr>
        <w:t>4.2.1 服务商应在服务商须知前附表规定的</w:t>
      </w:r>
      <w:r>
        <w:rPr>
          <w:rFonts w:hint="eastAsia" w:ascii="宋体" w:hAnsi="宋体"/>
          <w:szCs w:val="21"/>
        </w:rPr>
        <w:t>响应文件递交截止时间</w:t>
      </w:r>
      <w:r>
        <w:rPr>
          <w:rFonts w:hint="eastAsia" w:ascii="宋体" w:hAnsi="宋体" w:cs="宋体"/>
          <w:szCs w:val="21"/>
        </w:rPr>
        <w:t>前递交响应文件。</w:t>
      </w:r>
    </w:p>
    <w:p>
      <w:pPr>
        <w:spacing w:line="360" w:lineRule="auto"/>
        <w:ind w:firstLine="420" w:firstLineChars="200"/>
        <w:rPr>
          <w:rFonts w:ascii="宋体" w:hAnsi="宋体" w:cs="宋体"/>
          <w:szCs w:val="21"/>
        </w:rPr>
      </w:pPr>
      <w:r>
        <w:rPr>
          <w:rFonts w:hint="eastAsia" w:ascii="宋体" w:hAnsi="宋体" w:cs="宋体"/>
          <w:szCs w:val="21"/>
        </w:rPr>
        <w:t>4.2.2 服务商递交响应文件的地点：见服务商须知前附表。</w:t>
      </w:r>
    </w:p>
    <w:p>
      <w:pPr>
        <w:spacing w:line="360" w:lineRule="auto"/>
        <w:ind w:firstLine="420" w:firstLineChars="200"/>
        <w:rPr>
          <w:rFonts w:ascii="宋体" w:hAnsi="宋体" w:cs="宋体"/>
          <w:szCs w:val="21"/>
        </w:rPr>
      </w:pPr>
      <w:r>
        <w:rPr>
          <w:rFonts w:hint="eastAsia" w:ascii="宋体" w:hAnsi="宋体" w:cs="宋体"/>
          <w:szCs w:val="21"/>
        </w:rPr>
        <w:t>4.2.3 除服务商须知前附表另有规定外，服务商所递交的响应文件不予退还。</w:t>
      </w:r>
    </w:p>
    <w:p>
      <w:pPr>
        <w:spacing w:line="360" w:lineRule="auto"/>
        <w:ind w:firstLine="420" w:firstLineChars="200"/>
        <w:rPr>
          <w:rFonts w:ascii="宋体" w:hAnsi="宋体" w:cs="宋体"/>
          <w:szCs w:val="21"/>
        </w:rPr>
      </w:pPr>
      <w:r>
        <w:rPr>
          <w:rFonts w:hint="eastAsia" w:ascii="宋体" w:hAnsi="宋体" w:cs="宋体"/>
          <w:szCs w:val="21"/>
        </w:rPr>
        <w:t>4.2.4 逾期送达的或者未送达指定地点的响应文件，采购人不予受理。</w:t>
      </w:r>
    </w:p>
    <w:p>
      <w:pPr>
        <w:spacing w:line="360" w:lineRule="auto"/>
        <w:ind w:firstLine="211" w:firstLineChars="100"/>
        <w:rPr>
          <w:rFonts w:ascii="宋体" w:hAnsi="宋体" w:cs="宋体"/>
          <w:b/>
          <w:bCs/>
          <w:szCs w:val="21"/>
        </w:rPr>
      </w:pPr>
      <w:bookmarkStart w:id="319" w:name="_Toc144974526"/>
      <w:bookmarkStart w:id="320" w:name="_Toc247527583"/>
      <w:bookmarkStart w:id="321" w:name="_Toc334103781"/>
      <w:bookmarkStart w:id="322" w:name="_Toc359334210"/>
      <w:bookmarkStart w:id="323" w:name="_Toc350759256"/>
      <w:bookmarkStart w:id="324" w:name="_Toc359315104"/>
      <w:bookmarkStart w:id="325" w:name="_Toc152042334"/>
      <w:bookmarkStart w:id="326" w:name="_Toc15103"/>
      <w:bookmarkStart w:id="327" w:name="_Toc152045558"/>
      <w:bookmarkStart w:id="328" w:name="_Toc247513982"/>
      <w:r>
        <w:rPr>
          <w:rFonts w:hint="eastAsia" w:ascii="宋体" w:hAnsi="宋体" w:cs="宋体"/>
          <w:b/>
          <w:bCs/>
          <w:szCs w:val="21"/>
        </w:rPr>
        <w:t>4.3 响应文件的修改、撤回与撤销</w:t>
      </w:r>
      <w:bookmarkEnd w:id="319"/>
      <w:bookmarkEnd w:id="320"/>
      <w:bookmarkEnd w:id="321"/>
      <w:bookmarkEnd w:id="322"/>
      <w:bookmarkEnd w:id="323"/>
      <w:bookmarkEnd w:id="324"/>
      <w:bookmarkEnd w:id="325"/>
      <w:bookmarkEnd w:id="326"/>
      <w:bookmarkEnd w:id="327"/>
      <w:bookmarkEnd w:id="328"/>
    </w:p>
    <w:p>
      <w:pPr>
        <w:spacing w:line="360" w:lineRule="auto"/>
        <w:ind w:firstLine="420" w:firstLineChars="200"/>
        <w:rPr>
          <w:rFonts w:ascii="宋体" w:hAnsi="宋体" w:cs="宋体"/>
          <w:szCs w:val="21"/>
        </w:rPr>
      </w:pPr>
      <w:r>
        <w:rPr>
          <w:rFonts w:hint="eastAsia" w:ascii="宋体" w:hAnsi="宋体" w:cs="宋体"/>
          <w:szCs w:val="21"/>
        </w:rPr>
        <w:t>4.3.1</w:t>
      </w:r>
      <w:r>
        <w:rPr>
          <w:rFonts w:hint="eastAsia" w:ascii="宋体" w:hAnsi="宋体"/>
          <w:szCs w:val="21"/>
        </w:rPr>
        <w:t>服务商在响应文件递交截止时间前，可以对所递交的响应文件进行修改或撤回，并书面通知采购人。</w:t>
      </w:r>
    </w:p>
    <w:p>
      <w:pPr>
        <w:spacing w:line="360" w:lineRule="auto"/>
        <w:ind w:firstLine="420" w:firstLineChars="200"/>
        <w:rPr>
          <w:rFonts w:ascii="宋体" w:hAnsi="宋体" w:cs="宋体"/>
          <w:szCs w:val="21"/>
        </w:rPr>
      </w:pPr>
      <w:r>
        <w:rPr>
          <w:rFonts w:hint="eastAsia" w:ascii="宋体" w:hAnsi="宋体" w:cs="宋体"/>
          <w:szCs w:val="21"/>
        </w:rPr>
        <w:t>4.3.2</w:t>
      </w:r>
      <w:r>
        <w:rPr>
          <w:rFonts w:hint="eastAsia" w:ascii="宋体" w:hAnsi="宋体"/>
          <w:szCs w:val="21"/>
        </w:rPr>
        <w:t>修改的内容为响应文件的组成部分，修改的响应文件应按照本须知的规定进行编制、密封、标记和递交，并标明“修改”字样。</w:t>
      </w:r>
    </w:p>
    <w:p>
      <w:pPr>
        <w:spacing w:line="360" w:lineRule="auto"/>
        <w:ind w:firstLine="420" w:firstLineChars="200"/>
        <w:rPr>
          <w:rFonts w:ascii="宋体" w:hAnsi="宋体" w:cs="宋体"/>
          <w:szCs w:val="21"/>
        </w:rPr>
      </w:pPr>
      <w:r>
        <w:rPr>
          <w:rFonts w:hint="eastAsia" w:ascii="宋体" w:hAnsi="宋体" w:cs="宋体"/>
          <w:szCs w:val="21"/>
        </w:rPr>
        <w:t>4.3.3 在响应文件递交截止时间之后，服务商不得对其</w:t>
      </w:r>
      <w:r>
        <w:rPr>
          <w:rFonts w:hint="eastAsia" w:ascii="宋体" w:hAnsi="宋体"/>
          <w:szCs w:val="21"/>
        </w:rPr>
        <w:t>响应文件</w:t>
      </w:r>
      <w:r>
        <w:rPr>
          <w:rFonts w:hint="eastAsia" w:ascii="宋体" w:hAnsi="宋体" w:cs="宋体"/>
          <w:szCs w:val="21"/>
        </w:rPr>
        <w:t>做任何修改（询比小组要求服务商对其响应文件进行的澄清除外）。</w:t>
      </w:r>
    </w:p>
    <w:p>
      <w:pPr>
        <w:spacing w:line="360" w:lineRule="auto"/>
        <w:rPr>
          <w:rFonts w:ascii="宋体" w:hAnsi="宋体" w:cs="宋体"/>
          <w:b/>
          <w:bCs/>
          <w:szCs w:val="21"/>
        </w:rPr>
      </w:pPr>
      <w:bookmarkStart w:id="329" w:name="_Toc247513983"/>
      <w:bookmarkStart w:id="330" w:name="_Toc144974527"/>
      <w:bookmarkStart w:id="331" w:name="_Toc350759257"/>
      <w:bookmarkStart w:id="332" w:name="_Toc152042335"/>
      <w:bookmarkStart w:id="333" w:name="_Toc359334211"/>
      <w:bookmarkStart w:id="334" w:name="_Toc334103782"/>
      <w:bookmarkStart w:id="335" w:name="_Toc359315105"/>
      <w:bookmarkStart w:id="336" w:name="_Toc247527584"/>
      <w:bookmarkStart w:id="337" w:name="_Toc152045559"/>
      <w:bookmarkStart w:id="338" w:name="_Toc29982"/>
      <w:r>
        <w:rPr>
          <w:rFonts w:hint="eastAsia" w:ascii="宋体" w:hAnsi="宋体" w:cs="宋体"/>
          <w:b/>
          <w:bCs/>
          <w:szCs w:val="21"/>
        </w:rPr>
        <w:t xml:space="preserve">5. </w:t>
      </w:r>
      <w:bookmarkEnd w:id="329"/>
      <w:bookmarkEnd w:id="330"/>
      <w:bookmarkEnd w:id="331"/>
      <w:bookmarkEnd w:id="332"/>
      <w:bookmarkEnd w:id="333"/>
      <w:bookmarkEnd w:id="334"/>
      <w:bookmarkEnd w:id="335"/>
      <w:bookmarkEnd w:id="336"/>
      <w:bookmarkEnd w:id="337"/>
      <w:bookmarkEnd w:id="338"/>
      <w:r>
        <w:rPr>
          <w:rFonts w:hint="eastAsia" w:ascii="宋体" w:hAnsi="宋体"/>
          <w:b/>
          <w:szCs w:val="21"/>
        </w:rPr>
        <w:t>开启响应文件</w:t>
      </w:r>
    </w:p>
    <w:p>
      <w:pPr>
        <w:spacing w:line="360" w:lineRule="auto"/>
        <w:ind w:firstLine="211" w:firstLineChars="100"/>
        <w:rPr>
          <w:rFonts w:ascii="宋体" w:hAnsi="宋体" w:cs="宋体"/>
          <w:b/>
          <w:bCs/>
          <w:szCs w:val="21"/>
        </w:rPr>
      </w:pPr>
      <w:bookmarkStart w:id="339" w:name="_Toc359315106"/>
      <w:bookmarkStart w:id="340" w:name="_Toc8251"/>
      <w:bookmarkStart w:id="341" w:name="_Toc350759258"/>
      <w:bookmarkStart w:id="342" w:name="_Toc247527585"/>
      <w:bookmarkStart w:id="343" w:name="_Toc152042336"/>
      <w:bookmarkStart w:id="344" w:name="_Toc247513984"/>
      <w:bookmarkStart w:id="345" w:name="_Toc152045560"/>
      <w:bookmarkStart w:id="346" w:name="_Toc334103783"/>
      <w:bookmarkStart w:id="347" w:name="_Toc359334212"/>
      <w:bookmarkStart w:id="348" w:name="_Toc144974528"/>
      <w:r>
        <w:rPr>
          <w:rFonts w:hint="eastAsia" w:ascii="宋体" w:hAnsi="宋体" w:cs="宋体"/>
          <w:b/>
          <w:bCs/>
          <w:szCs w:val="21"/>
        </w:rPr>
        <w:t>5.1</w:t>
      </w:r>
      <w:r>
        <w:rPr>
          <w:rFonts w:hint="eastAsia" w:ascii="宋体" w:hAnsi="宋体"/>
          <w:b/>
          <w:szCs w:val="21"/>
        </w:rPr>
        <w:t>开启响应文件时间和地点</w:t>
      </w:r>
      <w:bookmarkEnd w:id="339"/>
      <w:bookmarkEnd w:id="340"/>
      <w:bookmarkEnd w:id="341"/>
      <w:bookmarkEnd w:id="342"/>
      <w:bookmarkEnd w:id="343"/>
      <w:bookmarkEnd w:id="344"/>
      <w:bookmarkEnd w:id="345"/>
      <w:bookmarkEnd w:id="346"/>
      <w:bookmarkEnd w:id="347"/>
      <w:bookmarkEnd w:id="348"/>
    </w:p>
    <w:p>
      <w:pPr>
        <w:pStyle w:val="9"/>
        <w:spacing w:line="360" w:lineRule="auto"/>
        <w:rPr>
          <w:rFonts w:ascii="宋体" w:hAnsi="宋体"/>
          <w:kern w:val="2"/>
          <w:sz w:val="21"/>
          <w:szCs w:val="21"/>
        </w:rPr>
      </w:pPr>
      <w:r>
        <w:rPr>
          <w:rFonts w:hint="eastAsia" w:ascii="宋体" w:hAnsi="宋体"/>
          <w:kern w:val="2"/>
          <w:sz w:val="21"/>
          <w:szCs w:val="21"/>
        </w:rPr>
        <w:t>5.1.1开启响应文件时间：同响应文件递交截止时间。</w:t>
      </w:r>
    </w:p>
    <w:p>
      <w:pPr>
        <w:spacing w:line="360" w:lineRule="auto"/>
        <w:ind w:firstLine="420" w:firstLineChars="200"/>
        <w:rPr>
          <w:rFonts w:ascii="宋体" w:hAnsi="宋体" w:cs="宋体"/>
          <w:szCs w:val="21"/>
        </w:rPr>
      </w:pPr>
      <w:r>
        <w:rPr>
          <w:rFonts w:hint="eastAsia" w:ascii="宋体" w:hAnsi="宋体"/>
          <w:szCs w:val="21"/>
        </w:rPr>
        <w:t>5.1.2开启响应文件地点：同响应文件递交地点。</w:t>
      </w:r>
    </w:p>
    <w:p>
      <w:pPr>
        <w:spacing w:line="360" w:lineRule="auto"/>
        <w:ind w:firstLine="211" w:firstLineChars="100"/>
        <w:rPr>
          <w:rFonts w:ascii="宋体" w:hAnsi="宋体" w:cs="宋体"/>
          <w:b/>
          <w:bCs/>
          <w:szCs w:val="21"/>
        </w:rPr>
      </w:pPr>
      <w:bookmarkStart w:id="349" w:name="_Toc350759259"/>
      <w:bookmarkStart w:id="350" w:name="_Toc152042337"/>
      <w:bookmarkStart w:id="351" w:name="_Toc12588"/>
      <w:bookmarkStart w:id="352" w:name="_Toc152045561"/>
      <w:bookmarkStart w:id="353" w:name="_Toc359334213"/>
      <w:bookmarkStart w:id="354" w:name="_Toc334103784"/>
      <w:bookmarkStart w:id="355" w:name="_Toc144974529"/>
      <w:bookmarkStart w:id="356" w:name="_Toc247527586"/>
      <w:bookmarkStart w:id="357" w:name="_Toc359315107"/>
      <w:bookmarkStart w:id="358" w:name="_Toc247513985"/>
      <w:r>
        <w:rPr>
          <w:rFonts w:hint="eastAsia" w:ascii="宋体" w:hAnsi="宋体" w:cs="宋体"/>
          <w:b/>
          <w:bCs/>
          <w:szCs w:val="21"/>
        </w:rPr>
        <w:t>5.2</w:t>
      </w:r>
      <w:r>
        <w:rPr>
          <w:rFonts w:hint="eastAsia" w:ascii="宋体" w:hAnsi="宋体"/>
          <w:b/>
          <w:szCs w:val="21"/>
        </w:rPr>
        <w:t>响应文件开启会议</w:t>
      </w:r>
      <w:bookmarkEnd w:id="349"/>
      <w:bookmarkEnd w:id="350"/>
      <w:bookmarkEnd w:id="351"/>
      <w:bookmarkEnd w:id="352"/>
      <w:bookmarkEnd w:id="353"/>
      <w:bookmarkEnd w:id="354"/>
      <w:bookmarkEnd w:id="355"/>
      <w:bookmarkEnd w:id="356"/>
      <w:bookmarkEnd w:id="357"/>
      <w:bookmarkEnd w:id="358"/>
    </w:p>
    <w:p>
      <w:pPr>
        <w:pStyle w:val="9"/>
        <w:spacing w:line="360" w:lineRule="auto"/>
        <w:rPr>
          <w:rFonts w:ascii="宋体" w:hAnsi="宋体"/>
          <w:kern w:val="2"/>
          <w:sz w:val="21"/>
          <w:szCs w:val="21"/>
        </w:rPr>
      </w:pPr>
      <w:r>
        <w:rPr>
          <w:rFonts w:hint="eastAsia" w:ascii="宋体" w:hAnsi="宋体"/>
          <w:kern w:val="2"/>
          <w:sz w:val="21"/>
          <w:szCs w:val="21"/>
        </w:rPr>
        <w:t>响应文件开启会议由采购组织人主持。开启程序如下：</w:t>
      </w:r>
    </w:p>
    <w:p>
      <w:pPr>
        <w:pStyle w:val="9"/>
        <w:spacing w:line="360" w:lineRule="auto"/>
        <w:rPr>
          <w:rFonts w:ascii="宋体" w:hAnsi="宋体"/>
          <w:kern w:val="2"/>
          <w:sz w:val="21"/>
          <w:szCs w:val="21"/>
        </w:rPr>
      </w:pPr>
      <w:r>
        <w:rPr>
          <w:rFonts w:hint="eastAsia" w:ascii="宋体" w:hAnsi="宋体"/>
          <w:kern w:val="2"/>
          <w:sz w:val="21"/>
          <w:szCs w:val="21"/>
        </w:rPr>
        <w:t>（1）宣布开启会议纪律；</w:t>
      </w:r>
    </w:p>
    <w:p>
      <w:pPr>
        <w:pStyle w:val="9"/>
        <w:spacing w:line="360" w:lineRule="auto"/>
        <w:rPr>
          <w:rFonts w:ascii="宋体" w:hAnsi="宋体"/>
          <w:kern w:val="2"/>
          <w:sz w:val="21"/>
          <w:szCs w:val="21"/>
        </w:rPr>
      </w:pPr>
      <w:r>
        <w:rPr>
          <w:rFonts w:hint="eastAsia" w:ascii="宋体" w:hAnsi="宋体"/>
          <w:kern w:val="2"/>
          <w:sz w:val="21"/>
          <w:szCs w:val="21"/>
        </w:rPr>
        <w:t>（2）宣布参加开启会议的工作人员姓名；</w:t>
      </w:r>
    </w:p>
    <w:p>
      <w:pPr>
        <w:pStyle w:val="9"/>
        <w:spacing w:line="360" w:lineRule="auto"/>
        <w:rPr>
          <w:rFonts w:ascii="宋体" w:hAnsi="宋体"/>
          <w:kern w:val="2"/>
          <w:sz w:val="21"/>
          <w:szCs w:val="21"/>
        </w:rPr>
      </w:pPr>
      <w:r>
        <w:rPr>
          <w:rFonts w:hint="eastAsia" w:ascii="宋体" w:hAnsi="宋体"/>
          <w:kern w:val="2"/>
          <w:sz w:val="21"/>
          <w:szCs w:val="21"/>
        </w:rPr>
        <w:t>（3）服务商代表检查确认响应文件的密封情况；</w:t>
      </w:r>
    </w:p>
    <w:p>
      <w:pPr>
        <w:pStyle w:val="9"/>
        <w:spacing w:line="360" w:lineRule="auto"/>
        <w:rPr>
          <w:rFonts w:ascii="宋体" w:hAnsi="宋体"/>
          <w:kern w:val="2"/>
          <w:sz w:val="21"/>
          <w:szCs w:val="21"/>
        </w:rPr>
      </w:pPr>
      <w:r>
        <w:rPr>
          <w:rFonts w:hint="eastAsia" w:ascii="宋体" w:hAnsi="宋体"/>
          <w:kern w:val="2"/>
          <w:sz w:val="21"/>
          <w:szCs w:val="21"/>
        </w:rPr>
        <w:t>（4）工作人员按响应文件递交的逆顺序开启响应文件，并宣读服务商名称、响应报价等内容，服务商代表当场确认，并记录在案；</w:t>
      </w:r>
    </w:p>
    <w:p>
      <w:pPr>
        <w:pStyle w:val="9"/>
        <w:spacing w:line="360" w:lineRule="auto"/>
        <w:rPr>
          <w:rFonts w:ascii="宋体" w:hAnsi="宋体"/>
          <w:kern w:val="2"/>
          <w:sz w:val="21"/>
          <w:szCs w:val="21"/>
        </w:rPr>
      </w:pPr>
      <w:r>
        <w:rPr>
          <w:rFonts w:hint="eastAsia" w:ascii="宋体" w:hAnsi="宋体"/>
          <w:kern w:val="2"/>
          <w:sz w:val="21"/>
          <w:szCs w:val="21"/>
        </w:rPr>
        <w:t>（5）服务商代表及相关工作人员等在响应文件开启记录上签字确认；</w:t>
      </w:r>
    </w:p>
    <w:p>
      <w:pPr>
        <w:pStyle w:val="9"/>
        <w:spacing w:line="360" w:lineRule="auto"/>
        <w:rPr>
          <w:rFonts w:ascii="宋体" w:hAnsi="宋体"/>
          <w:kern w:val="2"/>
          <w:sz w:val="21"/>
          <w:szCs w:val="21"/>
        </w:rPr>
      </w:pPr>
      <w:r>
        <w:rPr>
          <w:rFonts w:hint="eastAsia" w:ascii="宋体" w:hAnsi="宋体"/>
          <w:kern w:val="2"/>
          <w:sz w:val="21"/>
          <w:szCs w:val="21"/>
        </w:rPr>
        <w:t>（6）按照服务商须知前附表的规定顺序，宣布服务商参加询比的先后顺序；</w:t>
      </w:r>
    </w:p>
    <w:p>
      <w:pPr>
        <w:pStyle w:val="9"/>
        <w:spacing w:line="360" w:lineRule="auto"/>
        <w:rPr>
          <w:rFonts w:ascii="宋体" w:hAnsi="宋体"/>
          <w:kern w:val="2"/>
          <w:sz w:val="21"/>
          <w:szCs w:val="21"/>
        </w:rPr>
      </w:pPr>
      <w:r>
        <w:rPr>
          <w:rFonts w:hint="eastAsia" w:ascii="宋体" w:hAnsi="宋体"/>
          <w:kern w:val="2"/>
          <w:sz w:val="21"/>
          <w:szCs w:val="21"/>
        </w:rPr>
        <w:t>（7）宣布询比有关要求：参加询比的服务商代表必须为法定代表人或其授权委托代理人。</w:t>
      </w:r>
    </w:p>
    <w:p>
      <w:pPr>
        <w:spacing w:line="360" w:lineRule="auto"/>
        <w:ind w:firstLine="420" w:firstLineChars="200"/>
        <w:rPr>
          <w:rFonts w:ascii="宋体" w:hAnsi="宋体"/>
          <w:szCs w:val="21"/>
        </w:rPr>
      </w:pPr>
      <w:r>
        <w:rPr>
          <w:rFonts w:hint="eastAsia" w:ascii="宋体" w:hAnsi="宋体"/>
          <w:szCs w:val="21"/>
        </w:rPr>
        <w:t>（8）开启会议结束。</w:t>
      </w:r>
    </w:p>
    <w:p>
      <w:pPr>
        <w:spacing w:line="360" w:lineRule="auto"/>
        <w:ind w:firstLine="211" w:firstLineChars="100"/>
        <w:rPr>
          <w:rFonts w:ascii="宋体" w:hAnsi="宋体" w:cs="宋体"/>
          <w:b/>
          <w:bCs/>
          <w:szCs w:val="21"/>
        </w:rPr>
      </w:pPr>
      <w:bookmarkStart w:id="359" w:name="_Toc359315108"/>
      <w:bookmarkStart w:id="360" w:name="_Toc359334214"/>
      <w:bookmarkStart w:id="361" w:name="_Toc11120"/>
      <w:bookmarkStart w:id="362" w:name="_Toc350759260"/>
      <w:bookmarkStart w:id="363" w:name="_Toc334103785"/>
      <w:r>
        <w:rPr>
          <w:rFonts w:hint="eastAsia" w:ascii="宋体" w:hAnsi="宋体" w:cs="宋体"/>
          <w:b/>
          <w:bCs/>
          <w:szCs w:val="21"/>
        </w:rPr>
        <w:t>5.3</w:t>
      </w:r>
      <w:r>
        <w:rPr>
          <w:rFonts w:hint="eastAsia" w:ascii="宋体" w:hAnsi="宋体"/>
          <w:b/>
          <w:szCs w:val="21"/>
        </w:rPr>
        <w:t>响应文件开启异议</w:t>
      </w:r>
      <w:bookmarkEnd w:id="359"/>
      <w:bookmarkEnd w:id="360"/>
      <w:bookmarkEnd w:id="361"/>
      <w:bookmarkEnd w:id="362"/>
      <w:bookmarkEnd w:id="363"/>
    </w:p>
    <w:p>
      <w:pPr>
        <w:spacing w:line="360" w:lineRule="auto"/>
        <w:ind w:firstLine="420" w:firstLineChars="200"/>
        <w:rPr>
          <w:rFonts w:ascii="宋体" w:hAnsi="宋体" w:cs="宋体"/>
          <w:szCs w:val="21"/>
        </w:rPr>
      </w:pPr>
      <w:r>
        <w:rPr>
          <w:rFonts w:hint="eastAsia" w:ascii="宋体" w:hAnsi="宋体"/>
          <w:szCs w:val="21"/>
        </w:rPr>
        <w:t>服务商对响应文件开启有异议的，应当在响应文件开启现场提出，采购人当场作出答复，并制作记录。</w:t>
      </w:r>
    </w:p>
    <w:p>
      <w:pPr>
        <w:spacing w:line="360" w:lineRule="auto"/>
        <w:rPr>
          <w:rFonts w:ascii="宋体" w:hAnsi="宋体" w:cs="宋体"/>
          <w:b/>
          <w:bCs/>
          <w:szCs w:val="21"/>
        </w:rPr>
      </w:pPr>
      <w:bookmarkStart w:id="364" w:name="_Toc247527587"/>
      <w:bookmarkStart w:id="365" w:name="_Toc334103786"/>
      <w:bookmarkStart w:id="366" w:name="_Toc18829"/>
      <w:bookmarkStart w:id="367" w:name="_Toc144974530"/>
      <w:bookmarkStart w:id="368" w:name="_Toc152045562"/>
      <w:bookmarkStart w:id="369" w:name="_Toc359315109"/>
      <w:bookmarkStart w:id="370" w:name="_Toc350759261"/>
      <w:bookmarkStart w:id="371" w:name="_Toc247513986"/>
      <w:bookmarkStart w:id="372" w:name="_Toc359334215"/>
      <w:bookmarkStart w:id="373" w:name="_Toc152042338"/>
      <w:r>
        <w:rPr>
          <w:rFonts w:hint="eastAsia" w:ascii="宋体" w:hAnsi="宋体" w:cs="宋体"/>
          <w:b/>
          <w:bCs/>
          <w:szCs w:val="21"/>
        </w:rPr>
        <w:t xml:space="preserve">6. </w:t>
      </w:r>
      <w:bookmarkEnd w:id="364"/>
      <w:bookmarkEnd w:id="365"/>
      <w:bookmarkEnd w:id="366"/>
      <w:bookmarkEnd w:id="367"/>
      <w:bookmarkEnd w:id="368"/>
      <w:bookmarkEnd w:id="369"/>
      <w:bookmarkEnd w:id="370"/>
      <w:bookmarkEnd w:id="371"/>
      <w:bookmarkEnd w:id="372"/>
      <w:bookmarkEnd w:id="373"/>
      <w:r>
        <w:rPr>
          <w:rFonts w:hint="eastAsia" w:ascii="宋体" w:hAnsi="宋体" w:cs="宋体"/>
          <w:b/>
          <w:bCs/>
          <w:szCs w:val="21"/>
        </w:rPr>
        <w:t>评审</w:t>
      </w:r>
    </w:p>
    <w:p>
      <w:pPr>
        <w:spacing w:line="360" w:lineRule="auto"/>
        <w:ind w:firstLine="211" w:firstLineChars="100"/>
        <w:rPr>
          <w:rFonts w:ascii="宋体" w:hAnsi="宋体" w:cs="宋体"/>
          <w:b/>
          <w:bCs/>
          <w:szCs w:val="21"/>
        </w:rPr>
      </w:pPr>
      <w:bookmarkStart w:id="374" w:name="_Toc247527588"/>
      <w:bookmarkStart w:id="375" w:name="_Toc247513987"/>
      <w:bookmarkStart w:id="376" w:name="_Toc359315110"/>
      <w:bookmarkStart w:id="377" w:name="_Toc144974531"/>
      <w:bookmarkStart w:id="378" w:name="_Toc334103787"/>
      <w:bookmarkStart w:id="379" w:name="_Toc350759262"/>
      <w:bookmarkStart w:id="380" w:name="_Toc152042339"/>
      <w:bookmarkStart w:id="381" w:name="_Toc19433"/>
      <w:bookmarkStart w:id="382" w:name="_Toc152045563"/>
      <w:bookmarkStart w:id="383" w:name="_Toc359334216"/>
      <w:r>
        <w:rPr>
          <w:rFonts w:hint="eastAsia" w:ascii="宋体" w:hAnsi="宋体" w:cs="宋体"/>
          <w:b/>
          <w:bCs/>
          <w:szCs w:val="21"/>
        </w:rPr>
        <w:t>6.1 询比小组</w:t>
      </w:r>
      <w:bookmarkEnd w:id="374"/>
      <w:bookmarkEnd w:id="375"/>
      <w:bookmarkEnd w:id="376"/>
      <w:bookmarkEnd w:id="377"/>
      <w:bookmarkEnd w:id="378"/>
      <w:bookmarkEnd w:id="379"/>
      <w:bookmarkEnd w:id="380"/>
      <w:bookmarkEnd w:id="381"/>
      <w:bookmarkEnd w:id="382"/>
      <w:bookmarkEnd w:id="383"/>
    </w:p>
    <w:p>
      <w:pPr>
        <w:spacing w:line="360" w:lineRule="auto"/>
        <w:ind w:firstLine="420" w:firstLineChars="200"/>
        <w:rPr>
          <w:rFonts w:ascii="宋体" w:hAnsi="宋体" w:cs="宋体"/>
          <w:szCs w:val="21"/>
        </w:rPr>
      </w:pPr>
      <w:r>
        <w:rPr>
          <w:rFonts w:hint="eastAsia" w:ascii="宋体" w:hAnsi="宋体" w:cs="宋体"/>
          <w:szCs w:val="21"/>
        </w:rPr>
        <w:t xml:space="preserve">6.1.1 </w:t>
      </w:r>
      <w:r>
        <w:rPr>
          <w:rFonts w:hint="eastAsia" w:ascii="宋体" w:hAnsi="宋体"/>
          <w:szCs w:val="21"/>
        </w:rPr>
        <w:t>评审</w:t>
      </w:r>
      <w:r>
        <w:rPr>
          <w:rFonts w:hint="eastAsia" w:ascii="宋体" w:hAnsi="宋体" w:cs="宋体"/>
          <w:szCs w:val="21"/>
        </w:rPr>
        <w:t>由采购人依法组建的询比小组负责。询比小组由采购人熟悉相关业务的代表，以及有关技术、经济等方面的专家组成。询比小组成员人数以及技术、经济等方面专家的确定方式见服务商须知前附表。</w:t>
      </w:r>
    </w:p>
    <w:p>
      <w:pPr>
        <w:spacing w:line="360" w:lineRule="auto"/>
        <w:ind w:firstLine="420" w:firstLineChars="200"/>
        <w:rPr>
          <w:rFonts w:ascii="宋体" w:hAnsi="宋体" w:cs="宋体"/>
          <w:szCs w:val="21"/>
        </w:rPr>
      </w:pPr>
      <w:r>
        <w:rPr>
          <w:rFonts w:hint="eastAsia" w:ascii="宋体" w:hAnsi="宋体" w:cs="宋体"/>
          <w:szCs w:val="21"/>
        </w:rPr>
        <w:t>6.1.2 询比小组成员有下列情形之一的，应当回避：</w:t>
      </w:r>
    </w:p>
    <w:p>
      <w:pPr>
        <w:spacing w:line="360" w:lineRule="auto"/>
        <w:ind w:firstLine="420" w:firstLineChars="200"/>
        <w:rPr>
          <w:rFonts w:ascii="宋体" w:hAnsi="宋体" w:cs="宋体"/>
          <w:szCs w:val="21"/>
        </w:rPr>
      </w:pPr>
      <w:r>
        <w:rPr>
          <w:rFonts w:hint="eastAsia" w:ascii="宋体" w:hAnsi="宋体" w:cs="宋体"/>
          <w:szCs w:val="21"/>
        </w:rPr>
        <w:t>（1）服务商或服务商主要负责人的近亲属；</w:t>
      </w:r>
    </w:p>
    <w:p>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360" w:lineRule="auto"/>
        <w:ind w:firstLine="420" w:firstLineChars="200"/>
        <w:rPr>
          <w:rFonts w:ascii="宋体" w:hAnsi="宋体" w:cs="宋体"/>
          <w:szCs w:val="21"/>
        </w:rPr>
      </w:pPr>
      <w:r>
        <w:rPr>
          <w:rFonts w:hint="eastAsia" w:ascii="宋体" w:hAnsi="宋体" w:cs="宋体"/>
          <w:szCs w:val="21"/>
        </w:rPr>
        <w:t>（3）与服务商有经济利益关系，可能影响对询比公正评审的；</w:t>
      </w:r>
    </w:p>
    <w:p>
      <w:pPr>
        <w:spacing w:line="360" w:lineRule="auto"/>
        <w:ind w:firstLine="420" w:firstLineChars="200"/>
        <w:rPr>
          <w:rFonts w:ascii="宋体" w:hAnsi="宋体" w:cs="宋体"/>
          <w:szCs w:val="21"/>
        </w:rPr>
      </w:pPr>
      <w:r>
        <w:rPr>
          <w:rFonts w:hint="eastAsia" w:ascii="宋体" w:hAnsi="宋体" w:cs="宋体"/>
          <w:szCs w:val="21"/>
        </w:rPr>
        <w:t>（4）曾因在采购、询比以及其他与采购询比有关活动中从事违法行为而受过行政处罚或刑事处罚的；</w:t>
      </w:r>
    </w:p>
    <w:p>
      <w:pPr>
        <w:spacing w:line="360" w:lineRule="auto"/>
        <w:ind w:firstLine="420" w:firstLineChars="200"/>
        <w:rPr>
          <w:rFonts w:ascii="宋体" w:hAnsi="宋体" w:cs="宋体"/>
          <w:szCs w:val="21"/>
        </w:rPr>
      </w:pPr>
      <w:r>
        <w:rPr>
          <w:rFonts w:hint="eastAsia" w:ascii="宋体" w:hAnsi="宋体" w:cs="宋体"/>
          <w:szCs w:val="21"/>
        </w:rPr>
        <w:t>（5）与服务商有其他利害关系。</w:t>
      </w:r>
    </w:p>
    <w:p>
      <w:pPr>
        <w:spacing w:line="360" w:lineRule="auto"/>
        <w:ind w:firstLine="211" w:firstLineChars="100"/>
        <w:rPr>
          <w:rFonts w:ascii="宋体" w:hAnsi="宋体" w:cs="宋体"/>
          <w:b/>
          <w:bCs/>
          <w:szCs w:val="21"/>
        </w:rPr>
      </w:pPr>
      <w:bookmarkStart w:id="384" w:name="_Toc247527589"/>
      <w:bookmarkStart w:id="385" w:name="_Toc359334217"/>
      <w:bookmarkStart w:id="386" w:name="_Toc247513988"/>
      <w:bookmarkStart w:id="387" w:name="_Toc350759263"/>
      <w:bookmarkStart w:id="388" w:name="_Toc334103788"/>
      <w:bookmarkStart w:id="389" w:name="_Toc25710"/>
      <w:bookmarkStart w:id="390" w:name="_Toc152045564"/>
      <w:bookmarkStart w:id="391" w:name="_Toc359315111"/>
      <w:bookmarkStart w:id="392" w:name="_Toc152042340"/>
      <w:bookmarkStart w:id="393" w:name="_Toc144974532"/>
      <w:r>
        <w:rPr>
          <w:rFonts w:hint="eastAsia" w:ascii="宋体" w:hAnsi="宋体" w:cs="宋体"/>
          <w:b/>
          <w:bCs/>
          <w:szCs w:val="21"/>
        </w:rPr>
        <w:t>6.2 评审原则</w:t>
      </w:r>
      <w:bookmarkEnd w:id="384"/>
      <w:bookmarkEnd w:id="385"/>
      <w:bookmarkEnd w:id="386"/>
      <w:bookmarkEnd w:id="387"/>
      <w:bookmarkEnd w:id="388"/>
      <w:bookmarkEnd w:id="389"/>
      <w:bookmarkEnd w:id="390"/>
      <w:bookmarkEnd w:id="391"/>
      <w:bookmarkEnd w:id="392"/>
      <w:bookmarkEnd w:id="393"/>
    </w:p>
    <w:p>
      <w:pPr>
        <w:spacing w:line="360" w:lineRule="auto"/>
        <w:ind w:firstLine="420" w:firstLineChars="200"/>
        <w:rPr>
          <w:rFonts w:ascii="宋体" w:hAnsi="宋体" w:cs="宋体"/>
          <w:szCs w:val="21"/>
        </w:rPr>
      </w:pPr>
      <w:r>
        <w:rPr>
          <w:rFonts w:hint="eastAsia" w:ascii="宋体" w:hAnsi="宋体" w:cs="宋体"/>
          <w:szCs w:val="21"/>
        </w:rPr>
        <w:t>评审活动遵循公平、公正、科学和择优的原则。</w:t>
      </w:r>
    </w:p>
    <w:p>
      <w:pPr>
        <w:spacing w:line="360" w:lineRule="auto"/>
        <w:ind w:firstLine="211" w:firstLineChars="100"/>
        <w:rPr>
          <w:rFonts w:ascii="宋体" w:hAnsi="宋体" w:cs="宋体"/>
          <w:b/>
          <w:bCs/>
          <w:szCs w:val="21"/>
        </w:rPr>
      </w:pPr>
      <w:bookmarkStart w:id="394" w:name="_Toc152045565"/>
      <w:bookmarkStart w:id="395" w:name="_Toc247513989"/>
      <w:bookmarkStart w:id="396" w:name="_Toc334103789"/>
      <w:bookmarkStart w:id="397" w:name="_Toc350759264"/>
      <w:bookmarkStart w:id="398" w:name="_Toc152042341"/>
      <w:bookmarkStart w:id="399" w:name="_Toc359315112"/>
      <w:bookmarkStart w:id="400" w:name="_Toc144974533"/>
      <w:bookmarkStart w:id="401" w:name="_Toc247527590"/>
      <w:bookmarkStart w:id="402" w:name="_Toc359334218"/>
      <w:bookmarkStart w:id="403" w:name="_Toc23295"/>
      <w:r>
        <w:rPr>
          <w:rFonts w:hint="eastAsia" w:ascii="宋体" w:hAnsi="宋体" w:cs="宋体"/>
          <w:b/>
          <w:bCs/>
          <w:szCs w:val="21"/>
        </w:rPr>
        <w:t xml:space="preserve">6.3 </w:t>
      </w:r>
      <w:bookmarkEnd w:id="394"/>
      <w:bookmarkEnd w:id="395"/>
      <w:bookmarkEnd w:id="396"/>
      <w:bookmarkEnd w:id="397"/>
      <w:bookmarkEnd w:id="398"/>
      <w:bookmarkEnd w:id="399"/>
      <w:bookmarkEnd w:id="400"/>
      <w:bookmarkEnd w:id="401"/>
      <w:bookmarkEnd w:id="402"/>
      <w:r>
        <w:rPr>
          <w:rFonts w:hint="eastAsia" w:ascii="宋体" w:hAnsi="宋体" w:cs="宋体"/>
          <w:b/>
          <w:bCs/>
          <w:szCs w:val="21"/>
        </w:rPr>
        <w:t>评审标准</w:t>
      </w:r>
      <w:bookmarkEnd w:id="403"/>
    </w:p>
    <w:p>
      <w:pPr>
        <w:spacing w:line="360" w:lineRule="auto"/>
        <w:ind w:firstLine="420" w:firstLineChars="200"/>
        <w:rPr>
          <w:rFonts w:ascii="宋体" w:hAnsi="宋体"/>
          <w:szCs w:val="21"/>
        </w:rPr>
      </w:pPr>
      <w:r>
        <w:rPr>
          <w:rFonts w:ascii="宋体" w:hAnsi="宋体"/>
          <w:szCs w:val="21"/>
        </w:rPr>
        <w:t xml:space="preserve">6.3.1 </w:t>
      </w:r>
      <w:r>
        <w:rPr>
          <w:rFonts w:hint="eastAsia" w:ascii="宋体" w:hAnsi="宋体"/>
          <w:szCs w:val="21"/>
        </w:rPr>
        <w:t>询比小组</w:t>
      </w:r>
      <w:r>
        <w:rPr>
          <w:rFonts w:ascii="宋体" w:hAnsi="宋体"/>
          <w:szCs w:val="21"/>
        </w:rPr>
        <w:t>按照</w:t>
      </w:r>
      <w:r>
        <w:rPr>
          <w:rFonts w:hint="eastAsia" w:ascii="宋体" w:hAnsi="宋体"/>
          <w:szCs w:val="21"/>
        </w:rPr>
        <w:t>第三章“评审办法”</w:t>
      </w:r>
      <w:r>
        <w:rPr>
          <w:rFonts w:ascii="宋体" w:hAnsi="宋体"/>
          <w:szCs w:val="21"/>
        </w:rPr>
        <w:t>规定的方法、评审因素、标准和程序对</w:t>
      </w:r>
      <w:r>
        <w:rPr>
          <w:rFonts w:hint="eastAsia" w:ascii="宋体" w:hAnsi="宋体"/>
          <w:szCs w:val="21"/>
        </w:rPr>
        <w:t>响应文件</w:t>
      </w:r>
      <w:r>
        <w:rPr>
          <w:rFonts w:ascii="宋体" w:hAnsi="宋体"/>
          <w:szCs w:val="21"/>
        </w:rPr>
        <w:t>进行评审。</w:t>
      </w:r>
      <w:r>
        <w:rPr>
          <w:rFonts w:hint="eastAsia" w:ascii="宋体" w:hAnsi="宋体"/>
          <w:szCs w:val="21"/>
        </w:rPr>
        <w:t>第三章“评审办法”</w:t>
      </w:r>
      <w:r>
        <w:rPr>
          <w:rFonts w:ascii="宋体" w:hAnsi="宋体"/>
          <w:szCs w:val="21"/>
        </w:rPr>
        <w:t>没有规定的方法、评审因素和标准，不作为</w:t>
      </w:r>
      <w:r>
        <w:rPr>
          <w:rFonts w:hint="eastAsia" w:ascii="宋体" w:hAnsi="宋体"/>
          <w:szCs w:val="21"/>
        </w:rPr>
        <w:t>评审</w:t>
      </w:r>
      <w:r>
        <w:rPr>
          <w:rFonts w:ascii="宋体" w:hAnsi="宋体"/>
          <w:szCs w:val="21"/>
        </w:rPr>
        <w:t>依据。</w:t>
      </w:r>
    </w:p>
    <w:p>
      <w:pPr>
        <w:spacing w:line="360" w:lineRule="auto"/>
        <w:ind w:firstLine="420" w:firstLineChars="200"/>
        <w:rPr>
          <w:rFonts w:ascii="宋体" w:hAnsi="宋体" w:cs="宋体"/>
          <w:szCs w:val="21"/>
        </w:rPr>
      </w:pPr>
      <w:r>
        <w:rPr>
          <w:rFonts w:ascii="宋体" w:hAnsi="宋体"/>
          <w:szCs w:val="21"/>
        </w:rPr>
        <w:t xml:space="preserve">6.3.2 </w:t>
      </w:r>
      <w:r>
        <w:rPr>
          <w:rFonts w:hint="eastAsia" w:ascii="宋体" w:hAnsi="宋体"/>
          <w:szCs w:val="21"/>
        </w:rPr>
        <w:t>评审</w:t>
      </w:r>
      <w:r>
        <w:rPr>
          <w:rFonts w:ascii="宋体" w:hAnsi="宋体"/>
          <w:szCs w:val="21"/>
        </w:rPr>
        <w:t>完成后，</w:t>
      </w:r>
      <w:r>
        <w:rPr>
          <w:rFonts w:hint="eastAsia" w:ascii="宋体" w:hAnsi="宋体"/>
          <w:szCs w:val="21"/>
        </w:rPr>
        <w:t>询比小组</w:t>
      </w:r>
      <w:r>
        <w:rPr>
          <w:rFonts w:ascii="宋体" w:hAnsi="宋体"/>
          <w:szCs w:val="21"/>
        </w:rPr>
        <w:t>应向</w:t>
      </w:r>
      <w:r>
        <w:rPr>
          <w:rFonts w:hint="eastAsia" w:ascii="宋体" w:hAnsi="宋体"/>
          <w:szCs w:val="21"/>
        </w:rPr>
        <w:t>采购人</w:t>
      </w:r>
      <w:r>
        <w:rPr>
          <w:rFonts w:ascii="宋体" w:hAnsi="宋体"/>
          <w:szCs w:val="21"/>
        </w:rPr>
        <w:t>提交书面</w:t>
      </w:r>
      <w:r>
        <w:rPr>
          <w:rFonts w:hint="eastAsia" w:ascii="宋体" w:hAnsi="宋体"/>
          <w:szCs w:val="21"/>
        </w:rPr>
        <w:t>评审</w:t>
      </w:r>
      <w:r>
        <w:rPr>
          <w:rFonts w:ascii="宋体" w:hAnsi="宋体"/>
          <w:szCs w:val="21"/>
        </w:rPr>
        <w:t>报告和</w:t>
      </w:r>
      <w:r>
        <w:rPr>
          <w:rFonts w:hint="eastAsia" w:ascii="宋体" w:hAnsi="宋体"/>
          <w:szCs w:val="21"/>
        </w:rPr>
        <w:t>成交</w:t>
      </w:r>
      <w:r>
        <w:rPr>
          <w:rFonts w:ascii="宋体" w:hAnsi="宋体"/>
          <w:szCs w:val="21"/>
        </w:rPr>
        <w:t>候选人名单。</w:t>
      </w:r>
      <w:r>
        <w:rPr>
          <w:rFonts w:hint="eastAsia" w:ascii="宋体" w:hAnsi="宋体"/>
          <w:szCs w:val="21"/>
        </w:rPr>
        <w:t>询比小组</w:t>
      </w:r>
      <w:r>
        <w:rPr>
          <w:rFonts w:ascii="宋体" w:hAnsi="宋体"/>
          <w:szCs w:val="21"/>
        </w:rPr>
        <w:t>推荐</w:t>
      </w:r>
      <w:r>
        <w:rPr>
          <w:rFonts w:hint="eastAsia" w:ascii="宋体" w:hAnsi="宋体"/>
          <w:szCs w:val="21"/>
        </w:rPr>
        <w:t>成交</w:t>
      </w:r>
      <w:r>
        <w:rPr>
          <w:rFonts w:ascii="宋体" w:hAnsi="宋体"/>
          <w:szCs w:val="21"/>
        </w:rPr>
        <w:t>候选人的人数</w:t>
      </w:r>
      <w:r>
        <w:rPr>
          <w:rFonts w:hint="eastAsia" w:ascii="宋体" w:hAnsi="宋体"/>
          <w:szCs w:val="21"/>
        </w:rPr>
        <w:t>为小于等于3名</w:t>
      </w:r>
      <w:r>
        <w:rPr>
          <w:rFonts w:ascii="宋体" w:hAnsi="宋体"/>
          <w:szCs w:val="21"/>
        </w:rPr>
        <w:t>。</w:t>
      </w:r>
    </w:p>
    <w:p>
      <w:pPr>
        <w:spacing w:line="360" w:lineRule="auto"/>
        <w:rPr>
          <w:rFonts w:ascii="宋体" w:hAnsi="宋体" w:cs="宋体"/>
          <w:b/>
          <w:bCs/>
          <w:szCs w:val="21"/>
        </w:rPr>
      </w:pPr>
      <w:bookmarkStart w:id="404" w:name="_Toc359334219"/>
      <w:bookmarkStart w:id="405" w:name="_Toc6686"/>
      <w:bookmarkStart w:id="406" w:name="_Toc359315113"/>
      <w:bookmarkStart w:id="407" w:name="_Toc152045566"/>
      <w:bookmarkStart w:id="408" w:name="_Toc247513990"/>
      <w:bookmarkStart w:id="409" w:name="_Toc144974534"/>
      <w:bookmarkStart w:id="410" w:name="_Toc350759265"/>
      <w:bookmarkStart w:id="411" w:name="_Toc152042342"/>
      <w:bookmarkStart w:id="412" w:name="_Toc247527591"/>
      <w:bookmarkStart w:id="413" w:name="_Toc334103790"/>
      <w:r>
        <w:rPr>
          <w:rFonts w:hint="eastAsia" w:ascii="宋体" w:hAnsi="宋体" w:cs="宋体"/>
          <w:b/>
          <w:bCs/>
          <w:szCs w:val="21"/>
        </w:rPr>
        <w:t>7. 合同授予</w:t>
      </w:r>
      <w:bookmarkEnd w:id="404"/>
      <w:bookmarkEnd w:id="405"/>
      <w:bookmarkEnd w:id="406"/>
      <w:bookmarkEnd w:id="407"/>
      <w:bookmarkEnd w:id="408"/>
      <w:bookmarkEnd w:id="409"/>
      <w:bookmarkEnd w:id="410"/>
      <w:bookmarkEnd w:id="411"/>
      <w:bookmarkEnd w:id="412"/>
      <w:bookmarkEnd w:id="413"/>
    </w:p>
    <w:p>
      <w:pPr>
        <w:spacing w:line="360" w:lineRule="auto"/>
        <w:ind w:firstLine="211" w:firstLineChars="100"/>
        <w:rPr>
          <w:rFonts w:ascii="宋体" w:hAnsi="宋体" w:cs="宋体"/>
          <w:b/>
          <w:bCs/>
          <w:szCs w:val="21"/>
        </w:rPr>
      </w:pPr>
      <w:bookmarkStart w:id="414" w:name="_Toc334103791"/>
      <w:bookmarkStart w:id="415" w:name="_Toc152045567"/>
      <w:bookmarkStart w:id="416" w:name="_Toc2746"/>
      <w:bookmarkStart w:id="417" w:name="_Toc144974535"/>
      <w:bookmarkStart w:id="418" w:name="_Toc350759266"/>
      <w:bookmarkStart w:id="419" w:name="_Toc247527592"/>
      <w:bookmarkStart w:id="420" w:name="_Toc152042343"/>
      <w:bookmarkStart w:id="421" w:name="_Toc359334220"/>
      <w:bookmarkStart w:id="422" w:name="_Toc359315114"/>
      <w:bookmarkStart w:id="423" w:name="_Toc247513991"/>
      <w:r>
        <w:rPr>
          <w:rFonts w:hint="eastAsia" w:ascii="宋体" w:hAnsi="宋体" w:cs="宋体"/>
          <w:b/>
          <w:bCs/>
          <w:szCs w:val="21"/>
        </w:rPr>
        <w:t>7.1 定标方式</w:t>
      </w:r>
      <w:bookmarkEnd w:id="414"/>
      <w:bookmarkEnd w:id="415"/>
      <w:bookmarkEnd w:id="416"/>
      <w:bookmarkEnd w:id="417"/>
      <w:bookmarkEnd w:id="418"/>
      <w:bookmarkEnd w:id="419"/>
      <w:bookmarkEnd w:id="420"/>
      <w:bookmarkEnd w:id="421"/>
      <w:bookmarkEnd w:id="422"/>
      <w:bookmarkEnd w:id="423"/>
    </w:p>
    <w:p>
      <w:pPr>
        <w:spacing w:line="360" w:lineRule="auto"/>
        <w:ind w:firstLine="420" w:firstLineChars="200"/>
        <w:rPr>
          <w:rFonts w:ascii="宋体" w:hAnsi="宋体" w:cs="宋体"/>
          <w:szCs w:val="21"/>
        </w:rPr>
      </w:pPr>
      <w:r>
        <w:rPr>
          <w:rFonts w:hint="eastAsia" w:ascii="宋体" w:hAnsi="宋体" w:cs="宋体"/>
          <w:szCs w:val="21"/>
        </w:rPr>
        <w:t>除服务商须知前附表规定询比小组直接确定</w:t>
      </w:r>
      <w:r>
        <w:rPr>
          <w:rFonts w:hint="eastAsia" w:ascii="宋体" w:hAnsi="宋体"/>
          <w:szCs w:val="21"/>
        </w:rPr>
        <w:t>成交服务商</w:t>
      </w:r>
      <w:r>
        <w:rPr>
          <w:rFonts w:hint="eastAsia" w:ascii="宋体" w:hAnsi="宋体" w:cs="宋体"/>
          <w:szCs w:val="21"/>
        </w:rPr>
        <w:t>外，采购人依据询比小组推荐的</w:t>
      </w:r>
      <w:r>
        <w:rPr>
          <w:rFonts w:hint="eastAsia" w:ascii="宋体" w:hAnsi="宋体"/>
          <w:szCs w:val="21"/>
        </w:rPr>
        <w:t>成交</w:t>
      </w:r>
      <w:r>
        <w:rPr>
          <w:rFonts w:hint="eastAsia" w:ascii="宋体" w:hAnsi="宋体" w:cs="宋体"/>
          <w:szCs w:val="21"/>
        </w:rPr>
        <w:t>候选人确定</w:t>
      </w:r>
      <w:r>
        <w:rPr>
          <w:rFonts w:hint="eastAsia" w:ascii="宋体" w:hAnsi="宋体"/>
          <w:szCs w:val="21"/>
        </w:rPr>
        <w:t>成交服务商</w:t>
      </w:r>
      <w:r>
        <w:rPr>
          <w:rFonts w:hint="eastAsia" w:ascii="宋体" w:hAnsi="宋体" w:cs="宋体"/>
          <w:szCs w:val="21"/>
        </w:rPr>
        <w:t>，询比小组推荐</w:t>
      </w:r>
      <w:r>
        <w:rPr>
          <w:rFonts w:hint="eastAsia" w:ascii="宋体" w:hAnsi="宋体"/>
          <w:szCs w:val="21"/>
        </w:rPr>
        <w:t>成交</w:t>
      </w:r>
      <w:r>
        <w:rPr>
          <w:rFonts w:hint="eastAsia" w:ascii="宋体" w:hAnsi="宋体" w:cs="宋体"/>
          <w:szCs w:val="21"/>
        </w:rPr>
        <w:t>候选人的数量见服务商须知前附表。</w:t>
      </w:r>
    </w:p>
    <w:p>
      <w:pPr>
        <w:spacing w:line="360" w:lineRule="auto"/>
        <w:ind w:firstLine="211" w:firstLineChars="100"/>
        <w:rPr>
          <w:rFonts w:ascii="宋体" w:hAnsi="宋体"/>
          <w:b/>
          <w:szCs w:val="21"/>
        </w:rPr>
      </w:pPr>
      <w:bookmarkStart w:id="424" w:name="_Toc11183"/>
      <w:bookmarkStart w:id="425" w:name="_Toc359315115"/>
      <w:bookmarkStart w:id="426" w:name="_Toc359334221"/>
      <w:bookmarkStart w:id="427" w:name="_Toc350759267"/>
      <w:bookmarkStart w:id="428" w:name="_Toc334103792"/>
      <w:r>
        <w:rPr>
          <w:rFonts w:hint="eastAsia" w:ascii="宋体" w:hAnsi="宋体" w:cs="宋体"/>
          <w:b/>
          <w:bCs/>
          <w:szCs w:val="21"/>
        </w:rPr>
        <w:t>7.2</w:t>
      </w:r>
      <w:r>
        <w:rPr>
          <w:rFonts w:hint="eastAsia" w:ascii="宋体" w:hAnsi="宋体"/>
          <w:b/>
          <w:szCs w:val="21"/>
        </w:rPr>
        <w:t>评审结果异议</w:t>
      </w:r>
    </w:p>
    <w:p>
      <w:pPr>
        <w:spacing w:line="360" w:lineRule="auto"/>
        <w:ind w:firstLine="210" w:firstLineChars="100"/>
        <w:rPr>
          <w:rFonts w:ascii="宋体" w:hAnsi="宋体" w:cs="宋体"/>
          <w:b/>
          <w:bCs/>
          <w:szCs w:val="21"/>
        </w:rPr>
      </w:pPr>
      <w:r>
        <w:rPr>
          <w:rFonts w:hint="eastAsia" w:ascii="宋体" w:hAnsi="宋体"/>
          <w:szCs w:val="21"/>
        </w:rPr>
        <w:t>服务商或者其他利害关系人对评审结果有异议的，应当在服务商公示期间提出。采购人将在收到异议之日起3日内作出答复；作出答复前，将暂停询比采购活动。</w:t>
      </w:r>
      <w:bookmarkEnd w:id="424"/>
      <w:bookmarkEnd w:id="425"/>
      <w:bookmarkEnd w:id="426"/>
      <w:bookmarkEnd w:id="427"/>
      <w:bookmarkEnd w:id="428"/>
    </w:p>
    <w:p>
      <w:pPr>
        <w:spacing w:line="360" w:lineRule="auto"/>
        <w:ind w:firstLine="211" w:firstLineChars="100"/>
        <w:rPr>
          <w:rFonts w:ascii="宋体" w:hAnsi="宋体"/>
          <w:b/>
          <w:szCs w:val="21"/>
        </w:rPr>
      </w:pPr>
      <w:bookmarkStart w:id="429" w:name="_Toc359315116"/>
      <w:bookmarkStart w:id="430" w:name="_Toc247513992"/>
      <w:bookmarkStart w:id="431" w:name="_Toc247527593"/>
      <w:bookmarkStart w:id="432" w:name="_Toc359334222"/>
      <w:bookmarkStart w:id="433" w:name="_Toc334103793"/>
      <w:bookmarkStart w:id="434" w:name="_Toc350759268"/>
      <w:bookmarkStart w:id="435" w:name="_Toc144974536"/>
      <w:bookmarkStart w:id="436" w:name="_Toc152045568"/>
      <w:bookmarkStart w:id="437" w:name="_Toc152042344"/>
      <w:bookmarkStart w:id="438" w:name="_Toc14947"/>
      <w:r>
        <w:rPr>
          <w:rFonts w:hint="eastAsia" w:ascii="宋体" w:hAnsi="宋体"/>
          <w:b/>
          <w:szCs w:val="21"/>
        </w:rPr>
        <w:t>7.3</w:t>
      </w:r>
      <w:r>
        <w:rPr>
          <w:rFonts w:ascii="宋体" w:hAnsi="宋体"/>
          <w:b/>
          <w:szCs w:val="21"/>
        </w:rPr>
        <w:t xml:space="preserve"> </w:t>
      </w:r>
      <w:r>
        <w:rPr>
          <w:rFonts w:hint="eastAsia" w:ascii="宋体" w:hAnsi="宋体"/>
          <w:b/>
          <w:szCs w:val="21"/>
        </w:rPr>
        <w:t>服务商履约能力审查</w:t>
      </w:r>
    </w:p>
    <w:p>
      <w:pPr>
        <w:pStyle w:val="9"/>
        <w:spacing w:line="360" w:lineRule="auto"/>
        <w:rPr>
          <w:rFonts w:ascii="宋体" w:hAnsi="宋体"/>
          <w:kern w:val="2"/>
          <w:sz w:val="21"/>
          <w:szCs w:val="21"/>
        </w:rPr>
      </w:pPr>
      <w:r>
        <w:rPr>
          <w:rFonts w:hint="eastAsia" w:ascii="宋体" w:hAnsi="宋体"/>
          <w:kern w:val="2"/>
          <w:sz w:val="21"/>
          <w:szCs w:val="21"/>
        </w:rPr>
        <w:t>服务商的经营、财务状况发生较大变化或存在违法行为，采购人认为可能影响其履约能力的，将在发出成交通知书前提请原询比小组按照采购文件规定的标准和方法进行审查确认。</w:t>
      </w:r>
    </w:p>
    <w:p>
      <w:pPr>
        <w:spacing w:line="360" w:lineRule="auto"/>
        <w:ind w:firstLine="211" w:firstLineChars="100"/>
        <w:rPr>
          <w:rFonts w:ascii="宋体" w:hAnsi="宋体"/>
          <w:b/>
          <w:szCs w:val="21"/>
        </w:rPr>
      </w:pPr>
      <w:r>
        <w:rPr>
          <w:rFonts w:hint="eastAsia" w:ascii="宋体" w:hAnsi="宋体"/>
          <w:b/>
          <w:szCs w:val="21"/>
        </w:rPr>
        <w:t>7.4</w:t>
      </w:r>
      <w:r>
        <w:rPr>
          <w:rFonts w:ascii="宋体" w:hAnsi="宋体"/>
          <w:b/>
          <w:szCs w:val="21"/>
        </w:rPr>
        <w:t xml:space="preserve"> </w:t>
      </w:r>
      <w:r>
        <w:rPr>
          <w:rFonts w:hint="eastAsia" w:ascii="宋体" w:hAnsi="宋体"/>
          <w:b/>
          <w:szCs w:val="21"/>
        </w:rPr>
        <w:t>确定成交服务商</w:t>
      </w:r>
    </w:p>
    <w:p>
      <w:pPr>
        <w:pStyle w:val="9"/>
        <w:spacing w:line="360" w:lineRule="auto"/>
        <w:rPr>
          <w:rFonts w:ascii="宋体" w:hAnsi="宋体"/>
          <w:kern w:val="2"/>
          <w:sz w:val="21"/>
          <w:szCs w:val="21"/>
        </w:rPr>
      </w:pPr>
      <w:r>
        <w:rPr>
          <w:rFonts w:hint="eastAsia" w:ascii="宋体" w:hAnsi="宋体"/>
          <w:kern w:val="2"/>
          <w:sz w:val="21"/>
          <w:szCs w:val="21"/>
        </w:rPr>
        <w:t>采购人或采购人授权的询比小组依法确定成交服务商。</w:t>
      </w:r>
    </w:p>
    <w:p>
      <w:pPr>
        <w:spacing w:line="360" w:lineRule="auto"/>
        <w:ind w:firstLine="211" w:firstLineChars="100"/>
        <w:rPr>
          <w:rFonts w:ascii="宋体" w:hAnsi="宋体"/>
          <w:b/>
          <w:szCs w:val="21"/>
        </w:rPr>
      </w:pPr>
      <w:r>
        <w:rPr>
          <w:rFonts w:hint="eastAsia" w:ascii="宋体" w:hAnsi="宋体"/>
          <w:b/>
          <w:szCs w:val="21"/>
        </w:rPr>
        <w:t>7.5</w:t>
      </w:r>
      <w:r>
        <w:rPr>
          <w:rFonts w:ascii="宋体" w:hAnsi="宋体"/>
          <w:b/>
          <w:szCs w:val="21"/>
        </w:rPr>
        <w:t xml:space="preserve"> </w:t>
      </w:r>
      <w:r>
        <w:rPr>
          <w:rFonts w:hint="eastAsia" w:ascii="宋体" w:hAnsi="宋体"/>
          <w:b/>
          <w:szCs w:val="21"/>
        </w:rPr>
        <w:t>成交通知</w:t>
      </w:r>
    </w:p>
    <w:p>
      <w:pPr>
        <w:pStyle w:val="9"/>
        <w:spacing w:line="360" w:lineRule="auto"/>
        <w:rPr>
          <w:rFonts w:ascii="宋体" w:hAnsi="宋体"/>
          <w:kern w:val="2"/>
          <w:sz w:val="21"/>
          <w:szCs w:val="21"/>
        </w:rPr>
      </w:pPr>
      <w:r>
        <w:rPr>
          <w:rFonts w:hint="eastAsia" w:ascii="宋体" w:hAnsi="宋体"/>
          <w:kern w:val="2"/>
          <w:sz w:val="21"/>
          <w:szCs w:val="21"/>
        </w:rPr>
        <w:t>采购人以书面形式向成交服务商发出成交通知书。</w:t>
      </w:r>
      <w:bookmarkEnd w:id="429"/>
      <w:bookmarkEnd w:id="430"/>
      <w:bookmarkEnd w:id="431"/>
      <w:bookmarkEnd w:id="432"/>
      <w:bookmarkEnd w:id="433"/>
      <w:bookmarkEnd w:id="434"/>
      <w:bookmarkEnd w:id="435"/>
      <w:bookmarkEnd w:id="436"/>
      <w:bookmarkEnd w:id="437"/>
      <w:bookmarkEnd w:id="438"/>
    </w:p>
    <w:p>
      <w:pPr>
        <w:spacing w:line="360" w:lineRule="auto"/>
        <w:ind w:firstLine="211" w:firstLineChars="100"/>
        <w:rPr>
          <w:rFonts w:ascii="宋体" w:hAnsi="宋体" w:cs="宋体"/>
          <w:b/>
          <w:bCs/>
          <w:szCs w:val="21"/>
        </w:rPr>
      </w:pPr>
      <w:bookmarkStart w:id="439" w:name="_Toc247513993"/>
      <w:bookmarkStart w:id="440" w:name="_Toc152042345"/>
      <w:bookmarkStart w:id="441" w:name="_Toc247527594"/>
      <w:bookmarkStart w:id="442" w:name="_Toc144974537"/>
      <w:bookmarkStart w:id="443" w:name="_Toc359315117"/>
      <w:bookmarkStart w:id="444" w:name="_Toc152045569"/>
      <w:bookmarkStart w:id="445" w:name="_Toc359334223"/>
      <w:bookmarkStart w:id="446" w:name="_Toc7102"/>
      <w:bookmarkStart w:id="447" w:name="_Toc350759269"/>
      <w:bookmarkStart w:id="448" w:name="_Toc334103794"/>
      <w:r>
        <w:rPr>
          <w:rFonts w:hint="eastAsia" w:ascii="宋体" w:hAnsi="宋体" w:cs="宋体"/>
          <w:b/>
          <w:bCs/>
          <w:szCs w:val="21"/>
        </w:rPr>
        <w:t>7.</w:t>
      </w:r>
      <w:r>
        <w:rPr>
          <w:rFonts w:ascii="宋体" w:hAnsi="宋体" w:cs="宋体"/>
          <w:b/>
          <w:bCs/>
          <w:szCs w:val="21"/>
        </w:rPr>
        <w:t xml:space="preserve">6 </w:t>
      </w:r>
      <w:r>
        <w:rPr>
          <w:rFonts w:hint="eastAsia" w:ascii="宋体" w:hAnsi="宋体" w:cs="宋体"/>
          <w:b/>
          <w:bCs/>
          <w:szCs w:val="21"/>
        </w:rPr>
        <w:t>履约担保</w:t>
      </w:r>
      <w:bookmarkEnd w:id="439"/>
      <w:bookmarkEnd w:id="440"/>
      <w:bookmarkEnd w:id="441"/>
      <w:bookmarkEnd w:id="442"/>
      <w:bookmarkEnd w:id="443"/>
      <w:bookmarkEnd w:id="444"/>
      <w:bookmarkEnd w:id="445"/>
      <w:bookmarkEnd w:id="446"/>
      <w:bookmarkEnd w:id="447"/>
      <w:bookmarkEnd w:id="448"/>
    </w:p>
    <w:p>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.1 在签订合同前，</w:t>
      </w:r>
      <w:r>
        <w:rPr>
          <w:rFonts w:hint="eastAsia" w:ascii="宋体" w:hAnsi="宋体"/>
          <w:szCs w:val="21"/>
        </w:rPr>
        <w:t>成交服务商</w:t>
      </w:r>
      <w:r>
        <w:rPr>
          <w:rFonts w:hint="eastAsia" w:ascii="宋体" w:hAnsi="宋体" w:cs="宋体"/>
          <w:szCs w:val="21"/>
        </w:rPr>
        <w:t>应按服务商须知前附表规定的担保形式和采购文件第五章“合同条款及格式”规定的或者事先经过采购人书面认可的履约担保格式向采购人提交履约担保。履约担保金额收取按照服务商须知前附表规定执行。</w:t>
      </w:r>
    </w:p>
    <w:p>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 xml:space="preserve">.2 </w:t>
      </w:r>
      <w:r>
        <w:rPr>
          <w:rFonts w:hint="eastAsia" w:ascii="宋体" w:hAnsi="宋体"/>
          <w:szCs w:val="21"/>
        </w:rPr>
        <w:t>成交服务商</w:t>
      </w:r>
      <w:r>
        <w:rPr>
          <w:rFonts w:hint="eastAsia" w:ascii="宋体" w:hAnsi="宋体" w:cs="宋体"/>
          <w:szCs w:val="21"/>
        </w:rPr>
        <w:t>不能按本章第7.</w:t>
      </w:r>
      <w:r>
        <w:rPr>
          <w:rFonts w:ascii="宋体" w:hAnsi="宋体" w:cs="宋体"/>
          <w:szCs w:val="21"/>
        </w:rPr>
        <w:t>6</w:t>
      </w:r>
      <w:r>
        <w:rPr>
          <w:rFonts w:hint="eastAsia" w:ascii="宋体" w:hAnsi="宋体" w:cs="宋体"/>
          <w:szCs w:val="21"/>
        </w:rPr>
        <w:t>.1项要求提交履约担保的，视为放弃中标，其响应保证金不予退还，给采购人造成的损失超过响应保证金数额的，</w:t>
      </w:r>
      <w:r>
        <w:rPr>
          <w:rFonts w:hint="eastAsia" w:ascii="宋体" w:hAnsi="宋体"/>
          <w:szCs w:val="21"/>
        </w:rPr>
        <w:t>成交服务商</w:t>
      </w:r>
      <w:r>
        <w:rPr>
          <w:rFonts w:hint="eastAsia" w:ascii="宋体" w:hAnsi="宋体" w:cs="宋体"/>
          <w:szCs w:val="21"/>
        </w:rPr>
        <w:t>还应当对超过部分予以赔偿。</w:t>
      </w:r>
    </w:p>
    <w:p>
      <w:pPr>
        <w:spacing w:line="360" w:lineRule="auto"/>
        <w:ind w:firstLine="211" w:firstLineChars="100"/>
        <w:rPr>
          <w:rFonts w:ascii="宋体" w:hAnsi="宋体" w:cs="宋体"/>
          <w:b/>
          <w:bCs/>
          <w:szCs w:val="21"/>
        </w:rPr>
      </w:pPr>
      <w:bookmarkStart w:id="449" w:name="_Toc247513994"/>
      <w:bookmarkStart w:id="450" w:name="_Toc144974538"/>
      <w:bookmarkStart w:id="451" w:name="_Toc247527595"/>
      <w:bookmarkStart w:id="452" w:name="_Toc26807"/>
      <w:bookmarkStart w:id="453" w:name="_Toc350759270"/>
      <w:bookmarkStart w:id="454" w:name="_Toc359334224"/>
      <w:bookmarkStart w:id="455" w:name="_Toc334103795"/>
      <w:bookmarkStart w:id="456" w:name="_Toc152045570"/>
      <w:bookmarkStart w:id="457" w:name="_Toc359315118"/>
      <w:bookmarkStart w:id="458" w:name="_Toc152042346"/>
      <w:r>
        <w:rPr>
          <w:rFonts w:hint="eastAsia" w:ascii="宋体" w:hAnsi="宋体" w:cs="宋体"/>
          <w:b/>
          <w:bCs/>
          <w:szCs w:val="21"/>
        </w:rPr>
        <w:t>7.</w:t>
      </w:r>
      <w:r>
        <w:rPr>
          <w:rFonts w:ascii="宋体" w:hAnsi="宋体" w:cs="宋体"/>
          <w:b/>
          <w:bCs/>
          <w:szCs w:val="21"/>
        </w:rPr>
        <w:t>7</w:t>
      </w:r>
      <w:r>
        <w:rPr>
          <w:rFonts w:hint="eastAsia" w:ascii="宋体" w:hAnsi="宋体" w:cs="宋体"/>
          <w:b/>
          <w:bCs/>
          <w:szCs w:val="21"/>
        </w:rPr>
        <w:t xml:space="preserve"> 签订合同</w:t>
      </w:r>
      <w:bookmarkEnd w:id="449"/>
      <w:bookmarkEnd w:id="450"/>
      <w:bookmarkEnd w:id="451"/>
      <w:bookmarkEnd w:id="452"/>
      <w:bookmarkEnd w:id="453"/>
      <w:bookmarkEnd w:id="454"/>
      <w:bookmarkEnd w:id="455"/>
      <w:bookmarkEnd w:id="456"/>
      <w:bookmarkEnd w:id="457"/>
      <w:bookmarkEnd w:id="458"/>
    </w:p>
    <w:p>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7</w:t>
      </w:r>
      <w:r>
        <w:rPr>
          <w:rFonts w:hint="eastAsia" w:ascii="宋体" w:hAnsi="宋体" w:cs="宋体"/>
          <w:szCs w:val="21"/>
        </w:rPr>
        <w:t>.1 采购人和</w:t>
      </w:r>
      <w:r>
        <w:rPr>
          <w:rFonts w:hint="eastAsia" w:ascii="宋体" w:hAnsi="宋体"/>
          <w:szCs w:val="21"/>
        </w:rPr>
        <w:t>成交服务商</w:t>
      </w:r>
      <w:r>
        <w:rPr>
          <w:rFonts w:hint="eastAsia" w:ascii="宋体" w:hAnsi="宋体" w:cs="宋体"/>
          <w:szCs w:val="21"/>
        </w:rPr>
        <w:t>应当自成交通知书发出之日起30天内，根据采购文件和</w:t>
      </w:r>
      <w:r>
        <w:rPr>
          <w:rFonts w:hint="eastAsia" w:ascii="宋体" w:hAnsi="宋体"/>
          <w:szCs w:val="21"/>
        </w:rPr>
        <w:t>成交服务商</w:t>
      </w:r>
      <w:r>
        <w:rPr>
          <w:rFonts w:hint="eastAsia" w:ascii="宋体" w:hAnsi="宋体" w:cs="宋体"/>
          <w:szCs w:val="21"/>
        </w:rPr>
        <w:t>的响应文件订立书面合同。</w:t>
      </w:r>
      <w:r>
        <w:rPr>
          <w:rFonts w:hint="eastAsia" w:ascii="宋体" w:hAnsi="宋体"/>
          <w:szCs w:val="21"/>
        </w:rPr>
        <w:t>成交人无正当理由拒签合同，或在签订合同时向采购人提出附加条件，或不按照采购文件要求提交履约保证金的，采购人有权取消其成交资格，</w:t>
      </w:r>
      <w:r>
        <w:rPr>
          <w:rFonts w:hint="eastAsia" w:ascii="宋体" w:hAnsi="宋体" w:cs="宋体"/>
          <w:szCs w:val="21"/>
        </w:rPr>
        <w:t>其响应保证金不予退还，给采购人造成的损失超过响应保证金数额的，</w:t>
      </w:r>
      <w:r>
        <w:rPr>
          <w:rFonts w:hint="eastAsia" w:ascii="宋体" w:hAnsi="宋体"/>
          <w:szCs w:val="21"/>
        </w:rPr>
        <w:t>成交服务商</w:t>
      </w:r>
      <w:r>
        <w:rPr>
          <w:rFonts w:hint="eastAsia" w:ascii="宋体" w:hAnsi="宋体" w:cs="宋体"/>
          <w:szCs w:val="21"/>
        </w:rPr>
        <w:t>还应当对超过部分予以赔偿。</w:t>
      </w:r>
    </w:p>
    <w:p>
      <w:pPr>
        <w:spacing w:line="360" w:lineRule="auto"/>
        <w:ind w:firstLine="420" w:firstLineChars="200"/>
        <w:rPr>
          <w:rFonts w:ascii="宋体" w:hAnsi="宋体" w:cs="宋体"/>
          <w:szCs w:val="21"/>
        </w:rPr>
      </w:pPr>
      <w:r>
        <w:rPr>
          <w:rFonts w:ascii="宋体" w:hAnsi="宋体" w:cs="宋体"/>
          <w:szCs w:val="21"/>
        </w:rPr>
        <w:t>7.7.2</w:t>
      </w:r>
      <w:r>
        <w:rPr>
          <w:rFonts w:hint="eastAsia" w:ascii="宋体" w:hAnsi="宋体"/>
          <w:szCs w:val="21"/>
        </w:rPr>
        <w:t>采购人保留在签订合同时调整采购需求和变动询比内容的权力。</w:t>
      </w:r>
    </w:p>
    <w:p>
      <w:pPr>
        <w:spacing w:line="360" w:lineRule="auto"/>
        <w:rPr>
          <w:rFonts w:ascii="宋体" w:hAnsi="宋体" w:cs="宋体"/>
          <w:b/>
          <w:bCs/>
          <w:szCs w:val="21"/>
        </w:rPr>
      </w:pPr>
      <w:bookmarkStart w:id="459" w:name="_Toc152042347"/>
      <w:bookmarkStart w:id="460" w:name="_Toc247513995"/>
      <w:bookmarkStart w:id="461" w:name="_Toc144974539"/>
      <w:bookmarkStart w:id="462" w:name="_Toc247527596"/>
      <w:bookmarkStart w:id="463" w:name="_Toc152045571"/>
      <w:bookmarkStart w:id="464" w:name="_Toc350759271"/>
      <w:bookmarkStart w:id="465" w:name="_Toc334103796"/>
      <w:bookmarkStart w:id="466" w:name="_Toc359334225"/>
      <w:bookmarkStart w:id="467" w:name="_Toc8799"/>
      <w:bookmarkStart w:id="468" w:name="_Toc359315119"/>
      <w:r>
        <w:rPr>
          <w:rFonts w:hint="eastAsia" w:ascii="宋体" w:hAnsi="宋体" w:cs="宋体"/>
          <w:b/>
          <w:bCs/>
          <w:szCs w:val="21"/>
        </w:rPr>
        <w:t>8.</w:t>
      </w:r>
      <w:bookmarkEnd w:id="459"/>
      <w:bookmarkEnd w:id="460"/>
      <w:bookmarkEnd w:id="461"/>
      <w:bookmarkEnd w:id="462"/>
      <w:bookmarkEnd w:id="463"/>
      <w:bookmarkStart w:id="469" w:name="_Toc152042350"/>
      <w:bookmarkStart w:id="470" w:name="_Toc247513998"/>
      <w:bookmarkStart w:id="471" w:name="_Toc152045574"/>
      <w:bookmarkStart w:id="472" w:name="_Toc144974542"/>
      <w:bookmarkStart w:id="473" w:name="_Toc247527599"/>
      <w:r>
        <w:rPr>
          <w:rFonts w:hint="eastAsia" w:ascii="宋体" w:hAnsi="宋体" w:cs="宋体"/>
          <w:b/>
          <w:bCs/>
          <w:szCs w:val="21"/>
        </w:rPr>
        <w:t xml:space="preserve"> 纪律和监督</w:t>
      </w:r>
      <w:bookmarkEnd w:id="464"/>
      <w:bookmarkEnd w:id="465"/>
      <w:bookmarkEnd w:id="466"/>
      <w:bookmarkEnd w:id="467"/>
      <w:bookmarkEnd w:id="468"/>
      <w:bookmarkEnd w:id="469"/>
      <w:bookmarkEnd w:id="470"/>
      <w:bookmarkEnd w:id="471"/>
      <w:bookmarkEnd w:id="472"/>
      <w:bookmarkEnd w:id="473"/>
    </w:p>
    <w:p>
      <w:pPr>
        <w:spacing w:line="360" w:lineRule="auto"/>
        <w:ind w:firstLine="211" w:firstLineChars="100"/>
        <w:rPr>
          <w:rFonts w:ascii="宋体" w:hAnsi="宋体" w:cs="宋体"/>
          <w:b/>
          <w:bCs/>
          <w:szCs w:val="21"/>
        </w:rPr>
      </w:pPr>
      <w:bookmarkStart w:id="474" w:name="_Toc152042351"/>
      <w:bookmarkStart w:id="475" w:name="_Toc247513999"/>
      <w:bookmarkStart w:id="476" w:name="_Toc350759272"/>
      <w:bookmarkStart w:id="477" w:name="_Toc144974543"/>
      <w:bookmarkStart w:id="478" w:name="_Toc359315120"/>
      <w:bookmarkStart w:id="479" w:name="_Toc359334226"/>
      <w:bookmarkStart w:id="480" w:name="_Toc334103797"/>
      <w:bookmarkStart w:id="481" w:name="_Toc152045575"/>
      <w:bookmarkStart w:id="482" w:name="_Toc247527600"/>
      <w:bookmarkStart w:id="483" w:name="_Toc30876"/>
      <w:r>
        <w:rPr>
          <w:rFonts w:hint="eastAsia" w:ascii="宋体" w:hAnsi="宋体" w:cs="宋体"/>
          <w:b/>
          <w:bCs/>
          <w:szCs w:val="21"/>
        </w:rPr>
        <w:t>8.1 对采购人的纪律要求</w:t>
      </w:r>
      <w:bookmarkEnd w:id="474"/>
      <w:bookmarkEnd w:id="475"/>
      <w:bookmarkEnd w:id="476"/>
      <w:bookmarkEnd w:id="477"/>
      <w:bookmarkEnd w:id="478"/>
      <w:bookmarkEnd w:id="479"/>
      <w:bookmarkEnd w:id="480"/>
      <w:bookmarkEnd w:id="481"/>
      <w:bookmarkEnd w:id="482"/>
      <w:bookmarkEnd w:id="483"/>
    </w:p>
    <w:p>
      <w:pPr>
        <w:spacing w:line="360" w:lineRule="auto"/>
        <w:ind w:firstLine="420" w:firstLineChars="200"/>
        <w:rPr>
          <w:rFonts w:ascii="宋体" w:hAnsi="宋体" w:cs="宋体"/>
          <w:szCs w:val="21"/>
        </w:rPr>
      </w:pPr>
      <w:r>
        <w:rPr>
          <w:rFonts w:hint="eastAsia" w:ascii="宋体" w:hAnsi="宋体"/>
          <w:szCs w:val="21"/>
        </w:rPr>
        <w:t>采购人</w:t>
      </w:r>
      <w:r>
        <w:rPr>
          <w:rFonts w:ascii="宋体" w:hAnsi="宋体"/>
          <w:szCs w:val="21"/>
        </w:rPr>
        <w:t>不得泄露</w:t>
      </w:r>
      <w:r>
        <w:rPr>
          <w:rFonts w:hint="eastAsia" w:ascii="宋体" w:hAnsi="宋体"/>
          <w:szCs w:val="21"/>
        </w:rPr>
        <w:t>询比采购</w:t>
      </w:r>
      <w:r>
        <w:rPr>
          <w:rFonts w:ascii="宋体" w:hAnsi="宋体"/>
          <w:szCs w:val="21"/>
        </w:rPr>
        <w:t>活动中应当保密的情况和资料，不得与</w:t>
      </w:r>
      <w:r>
        <w:rPr>
          <w:rFonts w:hint="eastAsia" w:ascii="宋体" w:hAnsi="宋体"/>
          <w:szCs w:val="21"/>
        </w:rPr>
        <w:t>服务商</w:t>
      </w:r>
      <w:r>
        <w:rPr>
          <w:rFonts w:ascii="宋体" w:hAnsi="宋体"/>
          <w:szCs w:val="21"/>
        </w:rPr>
        <w:t>串通损害国家利益、社会公共利益或者他人合法权益。</w:t>
      </w:r>
    </w:p>
    <w:p>
      <w:pPr>
        <w:spacing w:line="360" w:lineRule="auto"/>
        <w:ind w:firstLine="211" w:firstLineChars="100"/>
        <w:rPr>
          <w:rFonts w:ascii="宋体" w:hAnsi="宋体" w:cs="宋体"/>
          <w:b/>
          <w:bCs/>
          <w:szCs w:val="21"/>
        </w:rPr>
      </w:pPr>
      <w:bookmarkStart w:id="484" w:name="_Toc152045576"/>
      <w:bookmarkStart w:id="485" w:name="_Toc32125"/>
      <w:bookmarkStart w:id="486" w:name="_Toc247514000"/>
      <w:bookmarkStart w:id="487" w:name="_Toc247527601"/>
      <w:bookmarkStart w:id="488" w:name="_Toc144974544"/>
      <w:bookmarkStart w:id="489" w:name="_Toc152042352"/>
      <w:bookmarkStart w:id="490" w:name="_Toc359315121"/>
      <w:bookmarkStart w:id="491" w:name="_Toc334103798"/>
      <w:bookmarkStart w:id="492" w:name="_Toc359334227"/>
      <w:bookmarkStart w:id="493" w:name="_Toc350759273"/>
      <w:r>
        <w:rPr>
          <w:rFonts w:hint="eastAsia" w:ascii="宋体" w:hAnsi="宋体" w:cs="宋体"/>
          <w:b/>
          <w:bCs/>
          <w:szCs w:val="21"/>
        </w:rPr>
        <w:t>8.2 对服务商的纪律要求</w:t>
      </w:r>
      <w:bookmarkEnd w:id="484"/>
      <w:bookmarkEnd w:id="485"/>
      <w:bookmarkEnd w:id="486"/>
      <w:bookmarkEnd w:id="487"/>
      <w:bookmarkEnd w:id="488"/>
      <w:bookmarkEnd w:id="489"/>
      <w:bookmarkEnd w:id="490"/>
      <w:bookmarkEnd w:id="491"/>
      <w:bookmarkEnd w:id="492"/>
      <w:bookmarkEnd w:id="493"/>
    </w:p>
    <w:p>
      <w:pPr>
        <w:spacing w:line="360" w:lineRule="auto"/>
        <w:ind w:firstLine="420" w:firstLineChars="200"/>
        <w:rPr>
          <w:rFonts w:ascii="宋体" w:hAnsi="宋体" w:cs="宋体"/>
          <w:szCs w:val="21"/>
        </w:rPr>
      </w:pPr>
      <w:r>
        <w:rPr>
          <w:rFonts w:hint="eastAsia" w:ascii="宋体" w:hAnsi="宋体"/>
          <w:szCs w:val="21"/>
        </w:rPr>
        <w:t>服务商</w:t>
      </w:r>
      <w:r>
        <w:rPr>
          <w:rFonts w:ascii="宋体" w:hAnsi="宋体"/>
          <w:szCs w:val="21"/>
        </w:rPr>
        <w:t>不得相互串通</w:t>
      </w:r>
      <w:r>
        <w:rPr>
          <w:rFonts w:hint="eastAsia" w:ascii="宋体" w:hAnsi="宋体"/>
          <w:szCs w:val="21"/>
        </w:rPr>
        <w:t>参加询比</w:t>
      </w:r>
      <w:r>
        <w:rPr>
          <w:rFonts w:ascii="宋体" w:hAnsi="宋体"/>
          <w:szCs w:val="21"/>
        </w:rPr>
        <w:t>或者与</w:t>
      </w:r>
      <w:r>
        <w:rPr>
          <w:rFonts w:hint="eastAsia" w:ascii="宋体" w:hAnsi="宋体"/>
          <w:szCs w:val="21"/>
        </w:rPr>
        <w:t>采购人</w:t>
      </w:r>
      <w:r>
        <w:rPr>
          <w:rFonts w:ascii="宋体" w:hAnsi="宋体"/>
          <w:szCs w:val="21"/>
        </w:rPr>
        <w:t>串通，不得向</w:t>
      </w:r>
      <w:r>
        <w:rPr>
          <w:rFonts w:hint="eastAsia" w:ascii="宋体" w:hAnsi="宋体"/>
          <w:szCs w:val="21"/>
        </w:rPr>
        <w:t>采购人</w:t>
      </w:r>
      <w:r>
        <w:rPr>
          <w:rFonts w:ascii="宋体" w:hAnsi="宋体"/>
          <w:szCs w:val="21"/>
        </w:rPr>
        <w:t>或者</w:t>
      </w:r>
      <w:r>
        <w:rPr>
          <w:rFonts w:hint="eastAsia" w:ascii="宋体" w:hAnsi="宋体"/>
          <w:szCs w:val="21"/>
        </w:rPr>
        <w:t>询比小组</w:t>
      </w:r>
      <w:r>
        <w:rPr>
          <w:rFonts w:ascii="宋体" w:hAnsi="宋体"/>
          <w:szCs w:val="21"/>
        </w:rPr>
        <w:t>成员行贿谋取</w:t>
      </w:r>
      <w:r>
        <w:rPr>
          <w:rFonts w:hint="eastAsia" w:ascii="宋体" w:hAnsi="宋体"/>
          <w:szCs w:val="21"/>
        </w:rPr>
        <w:t>成交</w:t>
      </w:r>
      <w:r>
        <w:rPr>
          <w:rFonts w:ascii="宋体" w:hAnsi="宋体"/>
          <w:szCs w:val="21"/>
        </w:rPr>
        <w:t>，不得以他人名义</w:t>
      </w:r>
      <w:r>
        <w:rPr>
          <w:rFonts w:hint="eastAsia" w:ascii="宋体" w:hAnsi="宋体"/>
          <w:szCs w:val="21"/>
        </w:rPr>
        <w:t>参加询比</w:t>
      </w:r>
      <w:r>
        <w:rPr>
          <w:rFonts w:ascii="宋体" w:hAnsi="宋体"/>
          <w:szCs w:val="21"/>
        </w:rPr>
        <w:t>或者以其他方式弄虚作假骗取</w:t>
      </w:r>
      <w:r>
        <w:rPr>
          <w:rFonts w:hint="eastAsia" w:ascii="宋体" w:hAnsi="宋体"/>
          <w:szCs w:val="21"/>
        </w:rPr>
        <w:t>成交</w:t>
      </w:r>
      <w:r>
        <w:rPr>
          <w:rFonts w:ascii="宋体" w:hAnsi="宋体"/>
          <w:szCs w:val="21"/>
        </w:rPr>
        <w:t>；</w:t>
      </w:r>
      <w:r>
        <w:rPr>
          <w:rFonts w:hint="eastAsia" w:ascii="宋体" w:hAnsi="宋体"/>
          <w:szCs w:val="21"/>
        </w:rPr>
        <w:t>服务商</w:t>
      </w:r>
      <w:r>
        <w:rPr>
          <w:rFonts w:ascii="宋体" w:hAnsi="宋体"/>
          <w:szCs w:val="21"/>
        </w:rPr>
        <w:t>不得以任何方式干扰、影响</w:t>
      </w:r>
      <w:r>
        <w:rPr>
          <w:rFonts w:hint="eastAsia" w:ascii="宋体" w:hAnsi="宋体"/>
          <w:szCs w:val="21"/>
        </w:rPr>
        <w:t>评审</w:t>
      </w:r>
      <w:r>
        <w:rPr>
          <w:rFonts w:ascii="宋体" w:hAnsi="宋体"/>
          <w:szCs w:val="21"/>
        </w:rPr>
        <w:t>工作。</w:t>
      </w:r>
    </w:p>
    <w:p>
      <w:pPr>
        <w:spacing w:line="360" w:lineRule="auto"/>
        <w:ind w:firstLine="211" w:firstLineChars="100"/>
        <w:rPr>
          <w:rFonts w:ascii="宋体" w:hAnsi="宋体" w:cs="宋体"/>
          <w:b/>
          <w:bCs/>
          <w:szCs w:val="21"/>
        </w:rPr>
      </w:pPr>
      <w:bookmarkStart w:id="494" w:name="_Toc247514001"/>
      <w:bookmarkStart w:id="495" w:name="_Toc334103799"/>
      <w:bookmarkStart w:id="496" w:name="_Toc25728"/>
      <w:bookmarkStart w:id="497" w:name="_Toc152045577"/>
      <w:bookmarkStart w:id="498" w:name="_Toc359334228"/>
      <w:bookmarkStart w:id="499" w:name="_Toc350759274"/>
      <w:bookmarkStart w:id="500" w:name="_Toc359315122"/>
      <w:bookmarkStart w:id="501" w:name="_Toc152042353"/>
      <w:bookmarkStart w:id="502" w:name="_Toc144974545"/>
      <w:bookmarkStart w:id="503" w:name="_Toc247527602"/>
      <w:r>
        <w:rPr>
          <w:rFonts w:hint="eastAsia" w:ascii="宋体" w:hAnsi="宋体" w:cs="宋体"/>
          <w:b/>
          <w:bCs/>
          <w:szCs w:val="21"/>
        </w:rPr>
        <w:t>8.3 对询比小组成员的纪律要求</w:t>
      </w:r>
      <w:bookmarkEnd w:id="494"/>
      <w:bookmarkEnd w:id="495"/>
      <w:bookmarkEnd w:id="496"/>
      <w:bookmarkEnd w:id="497"/>
      <w:bookmarkEnd w:id="498"/>
      <w:bookmarkEnd w:id="499"/>
      <w:bookmarkEnd w:id="500"/>
      <w:bookmarkEnd w:id="501"/>
      <w:bookmarkEnd w:id="502"/>
      <w:bookmarkEnd w:id="503"/>
    </w:p>
    <w:p>
      <w:pPr>
        <w:spacing w:line="360" w:lineRule="auto"/>
        <w:ind w:firstLine="420" w:firstLineChars="200"/>
        <w:rPr>
          <w:rFonts w:ascii="宋体" w:hAnsi="宋体" w:cs="宋体"/>
          <w:szCs w:val="21"/>
        </w:rPr>
      </w:pPr>
      <w:r>
        <w:rPr>
          <w:rFonts w:hint="eastAsia" w:ascii="宋体" w:hAnsi="宋体"/>
          <w:szCs w:val="21"/>
        </w:rPr>
        <w:t>询比小组</w:t>
      </w:r>
      <w:r>
        <w:rPr>
          <w:rFonts w:ascii="宋体" w:hAnsi="宋体"/>
          <w:szCs w:val="21"/>
        </w:rPr>
        <w:t>成员不得收受他人的财物或者其他好处，不得向他人透露对</w:t>
      </w:r>
      <w:r>
        <w:rPr>
          <w:rFonts w:hint="eastAsia" w:ascii="宋体" w:hAnsi="宋体"/>
          <w:szCs w:val="21"/>
        </w:rPr>
        <w:t>响应文件</w:t>
      </w:r>
      <w:r>
        <w:rPr>
          <w:rFonts w:ascii="宋体" w:hAnsi="宋体"/>
          <w:szCs w:val="21"/>
        </w:rPr>
        <w:t>的评审和比较、</w:t>
      </w:r>
      <w:r>
        <w:rPr>
          <w:rFonts w:hint="eastAsia" w:ascii="宋体" w:hAnsi="宋体"/>
          <w:szCs w:val="21"/>
        </w:rPr>
        <w:t>服务商</w:t>
      </w:r>
      <w:r>
        <w:rPr>
          <w:rFonts w:ascii="宋体" w:hAnsi="宋体"/>
          <w:szCs w:val="21"/>
        </w:rPr>
        <w:t>的推荐情况以及</w:t>
      </w:r>
      <w:r>
        <w:rPr>
          <w:rFonts w:hint="eastAsia" w:ascii="宋体" w:hAnsi="宋体"/>
          <w:szCs w:val="21"/>
        </w:rPr>
        <w:t>评审</w:t>
      </w:r>
      <w:r>
        <w:rPr>
          <w:rFonts w:ascii="宋体" w:hAnsi="宋体"/>
          <w:szCs w:val="21"/>
        </w:rPr>
        <w:t>有关的其他情况。在</w:t>
      </w:r>
      <w:r>
        <w:rPr>
          <w:rFonts w:hint="eastAsia" w:ascii="宋体" w:hAnsi="宋体"/>
          <w:szCs w:val="21"/>
        </w:rPr>
        <w:t>评审</w:t>
      </w:r>
      <w:r>
        <w:rPr>
          <w:rFonts w:ascii="宋体" w:hAnsi="宋体"/>
          <w:szCs w:val="21"/>
        </w:rPr>
        <w:t>活动中，</w:t>
      </w:r>
      <w:r>
        <w:rPr>
          <w:rFonts w:hint="eastAsia" w:ascii="宋体" w:hAnsi="宋体"/>
          <w:szCs w:val="21"/>
        </w:rPr>
        <w:t>询比小组</w:t>
      </w:r>
      <w:r>
        <w:rPr>
          <w:rFonts w:ascii="宋体" w:hAnsi="宋体"/>
          <w:szCs w:val="21"/>
        </w:rPr>
        <w:t>成员应当客观、公正地履行职责，遵守职业道德，不得擅离职守，影响</w:t>
      </w:r>
      <w:r>
        <w:rPr>
          <w:rFonts w:hint="eastAsia" w:ascii="宋体" w:hAnsi="宋体"/>
          <w:szCs w:val="21"/>
        </w:rPr>
        <w:t>评审</w:t>
      </w:r>
      <w:r>
        <w:rPr>
          <w:rFonts w:ascii="宋体" w:hAnsi="宋体"/>
          <w:szCs w:val="21"/>
        </w:rPr>
        <w:t>程序正常进行，不得使用第三章“</w:t>
      </w:r>
      <w:r>
        <w:rPr>
          <w:rFonts w:hint="eastAsia" w:ascii="宋体" w:hAnsi="宋体"/>
          <w:szCs w:val="21"/>
        </w:rPr>
        <w:t>评审</w:t>
      </w:r>
      <w:r>
        <w:rPr>
          <w:rFonts w:ascii="宋体" w:hAnsi="宋体"/>
          <w:szCs w:val="21"/>
        </w:rPr>
        <w:t>办法”没有规定的评审因素和标准进行</w:t>
      </w:r>
      <w:r>
        <w:rPr>
          <w:rFonts w:hint="eastAsia" w:ascii="宋体" w:hAnsi="宋体"/>
          <w:szCs w:val="21"/>
        </w:rPr>
        <w:t>评审</w:t>
      </w:r>
      <w:r>
        <w:rPr>
          <w:rFonts w:ascii="宋体" w:hAnsi="宋体"/>
          <w:szCs w:val="21"/>
        </w:rPr>
        <w:t>。</w:t>
      </w:r>
    </w:p>
    <w:p>
      <w:pPr>
        <w:spacing w:line="360" w:lineRule="auto"/>
        <w:ind w:firstLine="211" w:firstLineChars="100"/>
        <w:rPr>
          <w:rFonts w:ascii="宋体" w:hAnsi="宋体" w:cs="宋体"/>
          <w:b/>
          <w:bCs/>
          <w:szCs w:val="21"/>
        </w:rPr>
      </w:pPr>
      <w:bookmarkStart w:id="504" w:name="_Toc359315123"/>
      <w:bookmarkStart w:id="505" w:name="_Toc334103800"/>
      <w:bookmarkStart w:id="506" w:name="_Toc247527603"/>
      <w:bookmarkStart w:id="507" w:name="_Toc350759275"/>
      <w:bookmarkStart w:id="508" w:name="_Toc247514002"/>
      <w:bookmarkStart w:id="509" w:name="_Toc26932"/>
      <w:bookmarkStart w:id="510" w:name="_Toc152045578"/>
      <w:bookmarkStart w:id="511" w:name="_Toc359334229"/>
      <w:bookmarkStart w:id="512" w:name="_Toc152042354"/>
      <w:bookmarkStart w:id="513" w:name="_Toc144974546"/>
      <w:r>
        <w:rPr>
          <w:rFonts w:hint="eastAsia" w:ascii="宋体" w:hAnsi="宋体" w:cs="宋体"/>
          <w:b/>
          <w:bCs/>
          <w:szCs w:val="21"/>
        </w:rPr>
        <w:t>8.4 对与询比活动有关的工作人员的纪律要求</w:t>
      </w:r>
      <w:bookmarkEnd w:id="504"/>
      <w:bookmarkEnd w:id="505"/>
      <w:bookmarkEnd w:id="506"/>
      <w:bookmarkEnd w:id="507"/>
      <w:bookmarkEnd w:id="508"/>
      <w:bookmarkEnd w:id="509"/>
      <w:bookmarkEnd w:id="510"/>
      <w:bookmarkEnd w:id="511"/>
      <w:bookmarkEnd w:id="512"/>
    </w:p>
    <w:p>
      <w:pPr>
        <w:spacing w:line="360" w:lineRule="auto"/>
        <w:ind w:firstLine="420" w:firstLineChars="200"/>
        <w:rPr>
          <w:rFonts w:ascii="宋体" w:hAnsi="宋体" w:cs="宋体"/>
          <w:szCs w:val="21"/>
        </w:rPr>
      </w:pPr>
      <w:r>
        <w:rPr>
          <w:szCs w:val="21"/>
        </w:rPr>
        <w:t>与</w:t>
      </w:r>
      <w:r>
        <w:rPr>
          <w:rFonts w:hint="eastAsia"/>
          <w:szCs w:val="21"/>
        </w:rPr>
        <w:t>评审</w:t>
      </w:r>
      <w:r>
        <w:rPr>
          <w:szCs w:val="21"/>
        </w:rPr>
        <w:t>活动有关的工作人员不得收受他人的财物或者其他好处，不得向他人透露对</w:t>
      </w:r>
      <w:r>
        <w:rPr>
          <w:rFonts w:hint="eastAsia"/>
          <w:szCs w:val="21"/>
        </w:rPr>
        <w:t>响应文件</w:t>
      </w:r>
      <w:r>
        <w:rPr>
          <w:szCs w:val="21"/>
        </w:rPr>
        <w:t>的评审和比较、</w:t>
      </w:r>
      <w:r>
        <w:rPr>
          <w:rFonts w:hint="eastAsia"/>
          <w:szCs w:val="21"/>
        </w:rPr>
        <w:t>服务商</w:t>
      </w:r>
      <w:r>
        <w:rPr>
          <w:szCs w:val="21"/>
        </w:rPr>
        <w:t>的推荐情况以及</w:t>
      </w:r>
      <w:r>
        <w:rPr>
          <w:rFonts w:hint="eastAsia"/>
          <w:szCs w:val="21"/>
        </w:rPr>
        <w:t>评审</w:t>
      </w:r>
      <w:r>
        <w:rPr>
          <w:szCs w:val="21"/>
        </w:rPr>
        <w:t>有关的其他情况。在</w:t>
      </w:r>
      <w:r>
        <w:rPr>
          <w:rFonts w:hint="eastAsia"/>
          <w:szCs w:val="21"/>
        </w:rPr>
        <w:t>评审</w:t>
      </w:r>
      <w:r>
        <w:rPr>
          <w:szCs w:val="21"/>
        </w:rPr>
        <w:t>活动中，与</w:t>
      </w:r>
      <w:r>
        <w:rPr>
          <w:rFonts w:hint="eastAsia"/>
          <w:szCs w:val="21"/>
        </w:rPr>
        <w:t>评审</w:t>
      </w:r>
      <w:r>
        <w:rPr>
          <w:szCs w:val="21"/>
        </w:rPr>
        <w:t>活动有关的工作人员不得擅离职守，影响</w:t>
      </w:r>
      <w:r>
        <w:rPr>
          <w:rFonts w:hint="eastAsia"/>
          <w:szCs w:val="21"/>
        </w:rPr>
        <w:t>评审</w:t>
      </w:r>
      <w:r>
        <w:rPr>
          <w:szCs w:val="21"/>
        </w:rPr>
        <w:t>程序正常进行。</w:t>
      </w:r>
    </w:p>
    <w:p>
      <w:pPr>
        <w:spacing w:line="360" w:lineRule="auto"/>
        <w:rPr>
          <w:rFonts w:ascii="宋体" w:hAnsi="宋体" w:cs="宋体"/>
          <w:b/>
          <w:bCs/>
          <w:szCs w:val="21"/>
        </w:rPr>
      </w:pPr>
      <w:bookmarkStart w:id="514" w:name="_Toc7638"/>
      <w:bookmarkStart w:id="515" w:name="_Toc334103801"/>
      <w:bookmarkStart w:id="516" w:name="_Toc247514003"/>
      <w:bookmarkStart w:id="517" w:name="_Toc152042356"/>
      <w:bookmarkStart w:id="518" w:name="_Toc350759276"/>
      <w:bookmarkStart w:id="519" w:name="_Toc359315124"/>
      <w:bookmarkStart w:id="520" w:name="_Toc359334230"/>
      <w:bookmarkStart w:id="521" w:name="_Toc152045579"/>
      <w:bookmarkStart w:id="522" w:name="_Toc247527604"/>
      <w:r>
        <w:rPr>
          <w:rFonts w:ascii="宋体" w:hAnsi="宋体" w:cs="宋体"/>
          <w:b/>
          <w:bCs/>
          <w:szCs w:val="21"/>
        </w:rPr>
        <w:t xml:space="preserve">9. </w:t>
      </w:r>
      <w:r>
        <w:rPr>
          <w:rFonts w:hint="eastAsia" w:ascii="宋体" w:hAnsi="宋体" w:cs="宋体"/>
          <w:b/>
          <w:bCs/>
          <w:szCs w:val="21"/>
        </w:rPr>
        <w:t>质疑和投诉</w:t>
      </w:r>
      <w:bookmarkEnd w:id="513"/>
      <w:bookmarkEnd w:id="514"/>
      <w:bookmarkEnd w:id="515"/>
      <w:bookmarkEnd w:id="516"/>
      <w:bookmarkEnd w:id="517"/>
      <w:bookmarkEnd w:id="518"/>
      <w:bookmarkEnd w:id="519"/>
      <w:bookmarkEnd w:id="520"/>
      <w:bookmarkEnd w:id="521"/>
      <w:bookmarkEnd w:id="522"/>
    </w:p>
    <w:p>
      <w:pPr>
        <w:spacing w:line="360" w:lineRule="auto"/>
        <w:ind w:firstLine="211" w:firstLineChars="100"/>
        <w:rPr>
          <w:rFonts w:ascii="宋体" w:hAnsi="宋体"/>
          <w:b/>
          <w:szCs w:val="21"/>
        </w:rPr>
      </w:pPr>
      <w:r>
        <w:rPr>
          <w:rFonts w:hint="eastAsia" w:ascii="宋体" w:hAnsi="宋体"/>
          <w:b/>
          <w:szCs w:val="21"/>
        </w:rPr>
        <w:t>9.1 质疑</w:t>
      </w:r>
    </w:p>
    <w:p>
      <w:pPr>
        <w:pStyle w:val="9"/>
        <w:spacing w:line="360" w:lineRule="auto"/>
        <w:rPr>
          <w:rFonts w:ascii="宋体" w:hAnsi="宋体"/>
          <w:kern w:val="2"/>
          <w:sz w:val="21"/>
          <w:szCs w:val="21"/>
        </w:rPr>
      </w:pPr>
      <w:r>
        <w:rPr>
          <w:rFonts w:hint="eastAsia" w:ascii="宋体" w:hAnsi="宋体"/>
          <w:kern w:val="2"/>
          <w:sz w:val="21"/>
          <w:szCs w:val="21"/>
        </w:rPr>
        <w:t>9.1.1 服务商认为采购文件、采购过程和成交结果使自己的合法权益受到损害的，可以在知道或者应知其权益受到损害之日起7个工作日内，以书面形式向采购组织机构提出质疑，但需对质疑内容的真实性承担责任。</w:t>
      </w:r>
    </w:p>
    <w:p>
      <w:pPr>
        <w:pStyle w:val="9"/>
        <w:spacing w:line="360" w:lineRule="auto"/>
        <w:rPr>
          <w:rFonts w:ascii="宋体" w:hAnsi="宋体"/>
          <w:kern w:val="2"/>
          <w:sz w:val="21"/>
          <w:szCs w:val="21"/>
        </w:rPr>
      </w:pPr>
      <w:r>
        <w:rPr>
          <w:rFonts w:hint="eastAsia" w:ascii="宋体" w:hAnsi="宋体"/>
          <w:kern w:val="2"/>
          <w:sz w:val="21"/>
          <w:szCs w:val="21"/>
        </w:rPr>
        <w:t>9.1.2 采购组织机构在收到服务商的书面质疑后3个工作日内作出答复，并以书面形式通知质疑服务商，但答复的内容不涉及商业秘密。</w:t>
      </w:r>
    </w:p>
    <w:p>
      <w:pPr>
        <w:spacing w:line="360" w:lineRule="auto"/>
        <w:ind w:firstLine="211" w:firstLineChars="100"/>
        <w:rPr>
          <w:rFonts w:ascii="宋体" w:hAnsi="宋体"/>
          <w:b/>
          <w:szCs w:val="21"/>
        </w:rPr>
      </w:pPr>
      <w:r>
        <w:rPr>
          <w:rFonts w:hint="eastAsia" w:ascii="宋体" w:hAnsi="宋体"/>
          <w:b/>
          <w:szCs w:val="21"/>
        </w:rPr>
        <w:t>9.2 投诉</w:t>
      </w:r>
    </w:p>
    <w:p>
      <w:pPr>
        <w:pStyle w:val="9"/>
        <w:spacing w:line="360" w:lineRule="auto"/>
        <w:rPr>
          <w:rFonts w:ascii="宋体" w:hAnsi="宋体"/>
          <w:kern w:val="2"/>
          <w:sz w:val="21"/>
          <w:szCs w:val="21"/>
        </w:rPr>
      </w:pPr>
      <w:r>
        <w:rPr>
          <w:rFonts w:hint="eastAsia" w:ascii="宋体" w:hAnsi="宋体"/>
          <w:kern w:val="2"/>
          <w:sz w:val="21"/>
          <w:szCs w:val="21"/>
        </w:rPr>
        <w:t>9.2.1 质疑服务商对采购组织机构的答复不满意，或者采购组织机构未在规定的时间内作出答复的，可以在答复期满后15个工作日内向中国节能环保集团有限公司相关部门投诉。</w:t>
      </w:r>
    </w:p>
    <w:p>
      <w:pPr>
        <w:spacing w:line="360" w:lineRule="auto"/>
        <w:rPr>
          <w:b/>
          <w:bCs/>
          <w:color w:val="000000"/>
          <w:szCs w:val="21"/>
        </w:rPr>
      </w:pPr>
      <w:bookmarkStart w:id="523" w:name="_Toc144974547"/>
      <w:bookmarkStart w:id="524" w:name="_Toc247514004"/>
      <w:bookmarkStart w:id="525" w:name="_Toc359334231"/>
      <w:bookmarkStart w:id="526" w:name="_Toc350759277"/>
      <w:bookmarkStart w:id="527" w:name="_Toc247527605"/>
      <w:bookmarkStart w:id="528" w:name="_Toc10213"/>
      <w:bookmarkStart w:id="529" w:name="_Toc359315125"/>
      <w:bookmarkStart w:id="530" w:name="_Toc152045580"/>
      <w:bookmarkStart w:id="531" w:name="_Toc334103802"/>
      <w:bookmarkStart w:id="532" w:name="_Toc152042357"/>
      <w:r>
        <w:rPr>
          <w:rFonts w:ascii="宋体" w:hAnsi="宋体" w:cs="宋体"/>
          <w:b/>
          <w:bCs/>
          <w:szCs w:val="21"/>
        </w:rPr>
        <w:t xml:space="preserve">10. </w:t>
      </w:r>
      <w:r>
        <w:rPr>
          <w:b/>
          <w:bCs/>
          <w:color w:val="000000"/>
          <w:szCs w:val="21"/>
        </w:rPr>
        <w:t>是否采用电子</w:t>
      </w:r>
      <w:r>
        <w:rPr>
          <w:rFonts w:hint="eastAsia"/>
          <w:b/>
          <w:bCs/>
          <w:color w:val="000000"/>
          <w:szCs w:val="21"/>
        </w:rPr>
        <w:t>采购</w:t>
      </w:r>
    </w:p>
    <w:p>
      <w:pPr>
        <w:spacing w:line="360" w:lineRule="auto"/>
        <w:ind w:firstLine="420" w:firstLineChars="200"/>
        <w:contextualSpacing/>
        <w:rPr>
          <w:rFonts w:ascii="宋体" w:hAnsi="宋体"/>
          <w:szCs w:val="21"/>
        </w:rPr>
      </w:pPr>
      <w:r>
        <w:rPr>
          <w:color w:val="000000"/>
          <w:szCs w:val="21"/>
        </w:rPr>
        <w:t>本项目是否采用电子</w:t>
      </w:r>
      <w:r>
        <w:rPr>
          <w:rFonts w:hint="eastAsia"/>
          <w:color w:val="000000"/>
          <w:szCs w:val="21"/>
        </w:rPr>
        <w:t>采购</w:t>
      </w:r>
      <w:r>
        <w:rPr>
          <w:color w:val="000000"/>
          <w:szCs w:val="21"/>
        </w:rPr>
        <w:t>方式，见</w:t>
      </w:r>
      <w:r>
        <w:rPr>
          <w:rFonts w:hint="eastAsia"/>
          <w:color w:val="000000"/>
          <w:szCs w:val="21"/>
        </w:rPr>
        <w:t>服务商</w:t>
      </w:r>
      <w:r>
        <w:rPr>
          <w:color w:val="000000"/>
          <w:szCs w:val="21"/>
        </w:rPr>
        <w:t>须知前附表。</w:t>
      </w:r>
    </w:p>
    <w:p>
      <w:pPr>
        <w:spacing w:line="360" w:lineRule="auto"/>
        <w:rPr>
          <w:rFonts w:ascii="宋体" w:hAnsi="宋体" w:cs="宋体"/>
          <w:b/>
          <w:bCs/>
          <w:szCs w:val="21"/>
        </w:rPr>
      </w:pPr>
      <w:r>
        <w:rPr>
          <w:rFonts w:hint="eastAsia" w:ascii="宋体" w:hAnsi="宋体" w:cs="宋体"/>
          <w:b/>
          <w:bCs/>
          <w:szCs w:val="21"/>
        </w:rPr>
        <w:t>11. 需要补充的其他内容</w:t>
      </w:r>
      <w:bookmarkEnd w:id="523"/>
      <w:bookmarkEnd w:id="524"/>
      <w:bookmarkEnd w:id="525"/>
      <w:bookmarkEnd w:id="526"/>
      <w:bookmarkEnd w:id="527"/>
      <w:bookmarkEnd w:id="528"/>
      <w:bookmarkEnd w:id="529"/>
      <w:bookmarkEnd w:id="530"/>
      <w:bookmarkEnd w:id="531"/>
      <w:bookmarkEnd w:id="532"/>
    </w:p>
    <w:p>
      <w:pPr>
        <w:spacing w:line="360" w:lineRule="auto"/>
        <w:ind w:firstLine="420" w:firstLineChars="200"/>
        <w:rPr>
          <w:rFonts w:ascii="宋体" w:hAnsi="宋体" w:cs="宋体"/>
          <w:szCs w:val="21"/>
        </w:rPr>
      </w:pPr>
      <w:r>
        <w:rPr>
          <w:rFonts w:hint="eastAsia" w:ascii="宋体" w:hAnsi="宋体" w:cs="宋体"/>
          <w:szCs w:val="21"/>
        </w:rPr>
        <w:t>需要补充的其他内容：见服务商须知前附表。</w:t>
      </w:r>
    </w:p>
    <w:p>
      <w:pPr>
        <w:spacing w:line="360" w:lineRule="auto"/>
        <w:ind w:firstLine="420" w:firstLineChars="200"/>
      </w:pPr>
    </w:p>
    <w:p>
      <w:pPr>
        <w:pStyle w:val="4"/>
        <w:rPr>
          <w:rFonts w:ascii="Times New Roman" w:eastAsia="黑体"/>
          <w:sz w:val="28"/>
          <w:szCs w:val="28"/>
          <w:lang w:val="zh-CN"/>
        </w:rPr>
      </w:pPr>
      <w:r>
        <w:rPr>
          <w:rFonts w:ascii="Times New Roman"/>
        </w:rPr>
        <w:br w:type="page"/>
      </w:r>
      <w:bookmarkStart w:id="533" w:name="_Toc497844219"/>
      <w:bookmarkStart w:id="534" w:name="_Toc28607"/>
      <w:bookmarkStart w:id="535" w:name="_Toc497844220"/>
      <w:bookmarkStart w:id="536" w:name="_Toc496800154"/>
      <w:bookmarkStart w:id="537" w:name="_Toc496702885"/>
      <w:bookmarkStart w:id="538" w:name="_Toc496797525"/>
      <w:bookmarkStart w:id="539" w:name="_Toc496797485"/>
      <w:bookmarkStart w:id="540" w:name="_Toc496800184"/>
      <w:bookmarkStart w:id="541" w:name="_Toc496800234"/>
      <w:bookmarkStart w:id="542" w:name="_Toc496818601"/>
      <w:bookmarkStart w:id="543" w:name="_Toc493776326"/>
      <w:bookmarkStart w:id="544" w:name="_Toc496702830"/>
      <w:r>
        <w:rPr>
          <w:rFonts w:ascii="Times New Roman" w:eastAsia="黑体"/>
          <w:sz w:val="28"/>
          <w:szCs w:val="28"/>
          <w:lang w:val="zh-CN"/>
        </w:rPr>
        <w:t xml:space="preserve">第三章 </w:t>
      </w:r>
      <w:r>
        <w:rPr>
          <w:rFonts w:hint="eastAsia" w:ascii="Times New Roman" w:eastAsia="黑体"/>
          <w:sz w:val="28"/>
          <w:szCs w:val="28"/>
          <w:lang w:val="zh-CN"/>
        </w:rPr>
        <w:t>评审</w:t>
      </w:r>
      <w:r>
        <w:rPr>
          <w:rFonts w:ascii="Times New Roman" w:eastAsia="黑体"/>
          <w:sz w:val="28"/>
          <w:szCs w:val="28"/>
          <w:lang w:val="zh-CN"/>
        </w:rPr>
        <w:t>办法</w:t>
      </w:r>
      <w:bookmarkEnd w:id="533"/>
      <w:bookmarkEnd w:id="534"/>
    </w:p>
    <w:p>
      <w:pPr>
        <w:jc w:val="center"/>
        <w:rPr>
          <w:lang w:val="zh-CN"/>
        </w:rPr>
      </w:pPr>
      <w:r>
        <w:rPr>
          <w:rFonts w:hint="eastAsia"/>
          <w:lang w:val="zh-CN"/>
        </w:rPr>
        <w:t>评审办法前附表</w:t>
      </w:r>
    </w:p>
    <w:tbl>
      <w:tblPr>
        <w:tblStyle w:val="30"/>
        <w:tblW w:w="90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550"/>
        <w:gridCol w:w="4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b/>
                <w:szCs w:val="21"/>
              </w:rPr>
              <w:t>条款号</w:t>
            </w:r>
          </w:p>
        </w:tc>
        <w:tc>
          <w:tcPr>
            <w:tcW w:w="1124" w:type="dxa"/>
            <w:tcBorders>
              <w:top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b/>
                <w:bCs/>
                <w:color w:val="000000"/>
                <w:szCs w:val="21"/>
              </w:rPr>
              <w:t>评审方法</w:t>
            </w:r>
          </w:p>
        </w:tc>
        <w:tc>
          <w:tcPr>
            <w:tcW w:w="255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color w:val="FF0000"/>
                <w:szCs w:val="21"/>
              </w:rPr>
            </w:pPr>
            <w:r>
              <w:rPr>
                <w:rFonts w:hint="eastAsia" w:ascii="宋体" w:hAnsi="宋体" w:cs="宋体"/>
                <w:b/>
                <w:szCs w:val="21"/>
              </w:rPr>
              <w:t>评审因素</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FF0000"/>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restart"/>
            <w:tcBorders>
              <w:top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2.1.1</w:t>
            </w:r>
          </w:p>
        </w:tc>
        <w:tc>
          <w:tcPr>
            <w:tcW w:w="1124" w:type="dxa"/>
            <w:vMerge w:val="restart"/>
            <w:tcBorders>
              <w:top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形式评审标准</w:t>
            </w:r>
          </w:p>
        </w:tc>
        <w:tc>
          <w:tcPr>
            <w:tcW w:w="255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服务商名称</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与营业执照等证书一致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top w:val="nil"/>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top w:val="nil"/>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color w:val="000000"/>
                <w:szCs w:val="21"/>
              </w:rPr>
            </w:pPr>
            <w:r>
              <w:rPr>
                <w:rFonts w:hint="eastAsia" w:ascii="宋体" w:hAnsi="宋体" w:cs="宋体"/>
                <w:color w:val="000000"/>
                <w:szCs w:val="21"/>
              </w:rPr>
              <w:t>响应函签字盖章</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签字盖章符合采购文件要求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top w:val="nil"/>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top w:val="nil"/>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响应文件格式</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符合采购文件第六章“响应文件格式”的规定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top w:val="nil"/>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top w:val="nil"/>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color w:val="000000"/>
                <w:szCs w:val="21"/>
              </w:rPr>
            </w:pPr>
            <w:r>
              <w:rPr>
                <w:rFonts w:hint="eastAsia" w:ascii="宋体" w:hAnsi="宋体" w:cs="宋体"/>
                <w:color w:val="000000"/>
                <w:szCs w:val="21"/>
              </w:rPr>
              <w:t>联合体投标人</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top w:val="nil"/>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top w:val="nil"/>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color w:val="000000"/>
                <w:szCs w:val="21"/>
              </w:rPr>
            </w:pPr>
            <w:r>
              <w:rPr>
                <w:rFonts w:hint="eastAsia" w:ascii="宋体" w:hAnsi="宋体" w:cs="宋体"/>
                <w:color w:val="000000"/>
                <w:szCs w:val="21"/>
              </w:rPr>
              <w:t>备选响应方案</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服务商不得提交备选响应方案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restart"/>
            <w:tcBorders>
              <w:top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2.1.2</w:t>
            </w:r>
          </w:p>
        </w:tc>
        <w:tc>
          <w:tcPr>
            <w:tcW w:w="1124" w:type="dxa"/>
            <w:vMerge w:val="restart"/>
            <w:tcBorders>
              <w:top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资格评审标准</w:t>
            </w:r>
          </w:p>
        </w:tc>
        <w:tc>
          <w:tcPr>
            <w:tcW w:w="2550" w:type="dxa"/>
            <w:tcBorders>
              <w:top w:val="single" w:color="auto" w:sz="4" w:space="0"/>
              <w:left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资质要求</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符合第二章“服务商须知”第1.4.1项规定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top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top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right w:val="single" w:color="auto" w:sz="4" w:space="0"/>
            </w:tcBorders>
            <w:vAlign w:val="center"/>
          </w:tcPr>
          <w:p>
            <w:pPr>
              <w:contextualSpacing/>
              <w:jc w:val="center"/>
              <w:rPr>
                <w:rFonts w:ascii="宋体" w:hAnsi="宋体" w:cs="宋体"/>
                <w:color w:val="000000"/>
                <w:szCs w:val="21"/>
              </w:rPr>
            </w:pPr>
            <w:r>
              <w:rPr>
                <w:rFonts w:hint="eastAsia" w:ascii="宋体" w:hAnsi="宋体" w:cs="宋体"/>
                <w:color w:val="000000"/>
                <w:szCs w:val="21"/>
              </w:rPr>
              <w:t>财务要求</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color w:val="000000"/>
                <w:szCs w:val="21"/>
              </w:rPr>
            </w:pPr>
            <w:r>
              <w:rPr>
                <w:rFonts w:hint="eastAsia" w:ascii="宋体" w:hAnsi="宋体" w:cs="宋体"/>
                <w:color w:val="000000"/>
                <w:szCs w:val="21"/>
              </w:rPr>
              <w:t>符合第二章“服务商须知”第1.4.1项规定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top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top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right w:val="single" w:color="auto" w:sz="4" w:space="0"/>
            </w:tcBorders>
            <w:vAlign w:val="center"/>
          </w:tcPr>
          <w:p>
            <w:pPr>
              <w:contextualSpacing/>
              <w:jc w:val="center"/>
              <w:rPr>
                <w:rFonts w:ascii="宋体" w:hAnsi="宋体" w:cs="宋体"/>
                <w:color w:val="000000"/>
                <w:szCs w:val="21"/>
              </w:rPr>
            </w:pPr>
            <w:r>
              <w:rPr>
                <w:rFonts w:hint="eastAsia" w:ascii="宋体" w:hAnsi="宋体" w:cs="宋体"/>
                <w:color w:val="000000"/>
                <w:szCs w:val="21"/>
              </w:rPr>
              <w:t>业绩要求</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color w:val="000000"/>
                <w:szCs w:val="21"/>
              </w:rPr>
            </w:pPr>
            <w:r>
              <w:rPr>
                <w:rFonts w:hint="eastAsia" w:ascii="宋体" w:hAnsi="宋体" w:cs="宋体"/>
                <w:color w:val="000000"/>
                <w:szCs w:val="21"/>
              </w:rPr>
              <w:t>符合第二章“服务商须知”第1.4.1项规定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top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top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right w:val="single" w:color="auto" w:sz="4" w:space="0"/>
            </w:tcBorders>
            <w:vAlign w:val="center"/>
          </w:tcPr>
          <w:p>
            <w:pPr>
              <w:contextualSpacing/>
              <w:jc w:val="center"/>
              <w:rPr>
                <w:rFonts w:ascii="宋体" w:hAnsi="宋体" w:cs="宋体"/>
                <w:color w:val="000000"/>
                <w:szCs w:val="21"/>
              </w:rPr>
            </w:pPr>
            <w:r>
              <w:rPr>
                <w:rFonts w:hint="eastAsia" w:ascii="宋体" w:hAnsi="宋体" w:cs="宋体"/>
                <w:color w:val="000000"/>
                <w:szCs w:val="21"/>
              </w:rPr>
              <w:t>信誉要求</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color w:val="000000"/>
                <w:szCs w:val="21"/>
              </w:rPr>
            </w:pPr>
            <w:r>
              <w:rPr>
                <w:rFonts w:hint="eastAsia" w:ascii="宋体" w:hAnsi="宋体" w:cs="宋体"/>
                <w:color w:val="000000"/>
                <w:szCs w:val="21"/>
              </w:rPr>
              <w:t>符合第二章“服务商须知”第1.4.1项规定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right w:val="single" w:color="auto" w:sz="4" w:space="0"/>
            </w:tcBorders>
            <w:vAlign w:val="center"/>
          </w:tcPr>
          <w:p>
            <w:pPr>
              <w:contextualSpacing/>
              <w:jc w:val="center"/>
              <w:rPr>
                <w:rFonts w:ascii="宋体" w:hAnsi="宋体" w:cs="宋体"/>
                <w:color w:val="000000"/>
                <w:szCs w:val="21"/>
              </w:rPr>
            </w:pPr>
            <w:r>
              <w:rPr>
                <w:rFonts w:hint="eastAsia" w:ascii="宋体" w:hAnsi="宋体" w:cs="宋体"/>
                <w:color w:val="000000"/>
                <w:szCs w:val="21"/>
              </w:rPr>
              <w:t>不存在禁止参加</w:t>
            </w:r>
          </w:p>
          <w:p>
            <w:pPr>
              <w:contextualSpacing/>
              <w:jc w:val="center"/>
              <w:rPr>
                <w:rFonts w:ascii="宋体" w:hAnsi="宋体" w:cs="宋体"/>
                <w:color w:val="000000"/>
                <w:szCs w:val="21"/>
              </w:rPr>
            </w:pPr>
            <w:r>
              <w:rPr>
                <w:rFonts w:hint="eastAsia" w:ascii="宋体" w:hAnsi="宋体" w:cs="宋体"/>
                <w:color w:val="000000"/>
                <w:szCs w:val="21"/>
              </w:rPr>
              <w:t>采购活动的情形</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s="宋体"/>
                <w:b/>
                <w:bCs/>
                <w:color w:val="000000"/>
                <w:szCs w:val="21"/>
              </w:rPr>
            </w:pPr>
            <w:r>
              <w:rPr>
                <w:rFonts w:hint="eastAsia" w:ascii="宋体" w:hAnsi="宋体" w:cs="宋体"/>
                <w:color w:val="000000"/>
                <w:szCs w:val="21"/>
              </w:rPr>
              <w:t>不存在第二章“服务商须知”第1.4.2项规定的任何一种情形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2.1.3</w:t>
            </w:r>
          </w:p>
        </w:tc>
        <w:tc>
          <w:tcPr>
            <w:tcW w:w="112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响应性评审标准</w:t>
            </w:r>
          </w:p>
        </w:tc>
        <w:tc>
          <w:tcPr>
            <w:tcW w:w="255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响应报价</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s="宋体"/>
                <w:b/>
                <w:bCs/>
                <w:color w:val="000000"/>
                <w:szCs w:val="21"/>
              </w:rPr>
            </w:pPr>
            <w:r>
              <w:rPr>
                <w:rFonts w:hint="eastAsia" w:ascii="宋体" w:hAnsi="宋体" w:cs="宋体"/>
                <w:color w:val="000000"/>
                <w:szCs w:val="21"/>
              </w:rPr>
              <w:t>符合第二章“服务商须知”第3.2款规定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响应内容</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s="宋体"/>
                <w:b/>
                <w:bCs/>
                <w:color w:val="000000"/>
                <w:szCs w:val="21"/>
              </w:rPr>
            </w:pPr>
            <w:r>
              <w:rPr>
                <w:rFonts w:hint="eastAsia" w:ascii="宋体" w:hAnsi="宋体" w:cs="宋体"/>
                <w:color w:val="000000"/>
                <w:szCs w:val="21"/>
              </w:rPr>
              <w:t>符合第二章“服务商须知”第1.3.1项规定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服务期限</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s="宋体"/>
                <w:b/>
                <w:bCs/>
                <w:color w:val="000000"/>
                <w:szCs w:val="21"/>
              </w:rPr>
            </w:pPr>
            <w:r>
              <w:rPr>
                <w:rFonts w:hint="eastAsia" w:ascii="宋体" w:hAnsi="宋体" w:cs="宋体"/>
                <w:color w:val="000000"/>
                <w:szCs w:val="21"/>
              </w:rPr>
              <w:t>符合第二章“服务商须知”第1.3.2项规定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响应有效期</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s="宋体"/>
                <w:b/>
                <w:bCs/>
                <w:color w:val="000000"/>
                <w:szCs w:val="21"/>
              </w:rPr>
            </w:pPr>
            <w:r>
              <w:rPr>
                <w:rFonts w:hint="eastAsia" w:ascii="宋体" w:hAnsi="宋体" w:cs="宋体"/>
                <w:color w:val="000000"/>
                <w:szCs w:val="21"/>
              </w:rPr>
              <w:t>符合第二章“服务商须知”第3.3.1项规定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响应保证金</w:t>
            </w:r>
          </w:p>
        </w:tc>
        <w:tc>
          <w:tcPr>
            <w:tcW w:w="44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color w:val="000000"/>
                <w:szCs w:val="21"/>
              </w:rPr>
              <w:t>符合第二章“服务商须知”第3.4.1项规定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r>
              <w:rPr>
                <w:rFonts w:hint="eastAsia" w:ascii="宋体" w:hAnsi="宋体" w:cs="宋体"/>
                <w:color w:val="000000"/>
                <w:szCs w:val="21"/>
              </w:rPr>
              <w:t>权利义务</w:t>
            </w:r>
          </w:p>
        </w:tc>
        <w:tc>
          <w:tcPr>
            <w:tcW w:w="4426"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s="宋体"/>
                <w:b/>
                <w:bCs/>
                <w:color w:val="000000"/>
                <w:szCs w:val="21"/>
              </w:rPr>
            </w:pPr>
            <w:r>
              <w:rPr>
                <w:rFonts w:hint="eastAsia" w:ascii="宋体" w:hAnsi="宋体" w:cs="宋体"/>
                <w:color w:val="000000"/>
                <w:szCs w:val="21"/>
              </w:rPr>
              <w:t>符合第五章“合同条款及格式”全部条款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left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服务方案</w:t>
            </w:r>
          </w:p>
        </w:tc>
        <w:tc>
          <w:tcPr>
            <w:tcW w:w="44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符合第四章“服务商服务要求”的规定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900"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112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偏离</w:t>
            </w:r>
          </w:p>
        </w:tc>
        <w:tc>
          <w:tcPr>
            <w:tcW w:w="44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szCs w:val="22"/>
              </w:rPr>
              <w:t>响应文件应当对采购文件的实质性要求和条件作出满足性或更有利于采购人的响应，不得</w:t>
            </w:r>
            <w:r>
              <w:rPr>
                <w:rFonts w:hint="eastAsia" w:ascii="宋体" w:hAnsi="宋体"/>
              </w:rPr>
              <w:t>附有采购人不能接受的条件。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24" w:type="dxa"/>
            <w:gridSpan w:val="2"/>
            <w:tcBorders>
              <w:top w:val="nil"/>
              <w:bottom w:val="single" w:color="auto" w:sz="4" w:space="0"/>
              <w:right w:val="single" w:color="auto" w:sz="4" w:space="0"/>
            </w:tcBorders>
            <w:vAlign w:val="center"/>
          </w:tcPr>
          <w:p>
            <w:pPr>
              <w:contextualSpacing/>
              <w:jc w:val="center"/>
              <w:rPr>
                <w:rFonts w:ascii="宋体" w:hAnsi="宋体" w:cs="宋体"/>
                <w:b/>
                <w:bCs/>
                <w:color w:val="000000"/>
                <w:szCs w:val="21"/>
              </w:rPr>
            </w:pPr>
          </w:p>
        </w:tc>
        <w:tc>
          <w:tcPr>
            <w:tcW w:w="6976" w:type="dxa"/>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b/>
                <w:bCs/>
                <w:color w:val="000000"/>
                <w:szCs w:val="21"/>
              </w:rPr>
            </w:pPr>
          </w:p>
        </w:tc>
      </w:tr>
    </w:tbl>
    <w:p>
      <w:pPr>
        <w:spacing w:line="360" w:lineRule="auto"/>
        <w:rPr>
          <w:rFonts w:ascii="宋体" w:hAnsi="宋体" w:cs="宋体"/>
          <w:b/>
          <w:szCs w:val="21"/>
        </w:rPr>
      </w:pPr>
    </w:p>
    <w:tbl>
      <w:tblPr>
        <w:tblStyle w:val="30"/>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91"/>
        <w:gridCol w:w="802"/>
        <w:gridCol w:w="499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90" w:type="dxa"/>
            <w:vAlign w:val="center"/>
          </w:tcPr>
          <w:p>
            <w:pPr>
              <w:widowControl/>
              <w:adjustRightInd w:val="0"/>
              <w:spacing w:line="320" w:lineRule="exact"/>
              <w:jc w:val="center"/>
              <w:rPr>
                <w:rFonts w:ascii="宋体" w:hAnsi="宋体" w:cs="宋体"/>
                <w:color w:val="000000"/>
                <w:szCs w:val="21"/>
              </w:rPr>
            </w:pPr>
            <w:r>
              <w:rPr>
                <w:rFonts w:hint="eastAsia" w:ascii="宋体" w:hAnsi="宋体" w:cs="宋体"/>
                <w:color w:val="000000"/>
                <w:szCs w:val="21"/>
              </w:rPr>
              <w:t>序号</w:t>
            </w:r>
          </w:p>
        </w:tc>
        <w:tc>
          <w:tcPr>
            <w:tcW w:w="1291" w:type="dxa"/>
            <w:vAlign w:val="center"/>
          </w:tcPr>
          <w:p>
            <w:pPr>
              <w:widowControl/>
              <w:adjustRightInd w:val="0"/>
              <w:spacing w:line="360" w:lineRule="auto"/>
              <w:rPr>
                <w:rFonts w:ascii="宋体" w:hAnsi="宋体" w:cs="宋体"/>
                <w:color w:val="000000"/>
                <w:szCs w:val="21"/>
              </w:rPr>
            </w:pPr>
            <w:r>
              <w:rPr>
                <w:rFonts w:hint="eastAsia" w:ascii="宋体" w:hAnsi="宋体" w:cs="宋体"/>
                <w:color w:val="000000"/>
                <w:szCs w:val="21"/>
              </w:rPr>
              <w:t>评分因素</w:t>
            </w:r>
          </w:p>
        </w:tc>
        <w:tc>
          <w:tcPr>
            <w:tcW w:w="802" w:type="dxa"/>
            <w:vAlign w:val="center"/>
          </w:tcPr>
          <w:p>
            <w:pPr>
              <w:widowControl/>
              <w:adjustRightInd w:val="0"/>
              <w:spacing w:line="360" w:lineRule="auto"/>
              <w:jc w:val="center"/>
              <w:rPr>
                <w:rFonts w:ascii="宋体" w:hAnsi="宋体" w:cs="宋体"/>
                <w:color w:val="000000"/>
                <w:szCs w:val="21"/>
              </w:rPr>
            </w:pPr>
            <w:r>
              <w:rPr>
                <w:rFonts w:hint="eastAsia" w:ascii="宋体" w:hAnsi="宋体" w:cs="宋体"/>
                <w:color w:val="000000"/>
                <w:szCs w:val="21"/>
              </w:rPr>
              <w:t>分值</w:t>
            </w:r>
          </w:p>
        </w:tc>
        <w:tc>
          <w:tcPr>
            <w:tcW w:w="4996" w:type="dxa"/>
            <w:vAlign w:val="center"/>
          </w:tcPr>
          <w:p>
            <w:pPr>
              <w:widowControl/>
              <w:adjustRightInd w:val="0"/>
              <w:spacing w:line="360" w:lineRule="auto"/>
              <w:jc w:val="center"/>
              <w:rPr>
                <w:rFonts w:ascii="宋体" w:hAnsi="宋体" w:cs="宋体"/>
                <w:color w:val="000000"/>
                <w:szCs w:val="21"/>
              </w:rPr>
            </w:pPr>
            <w:r>
              <w:rPr>
                <w:rFonts w:hint="eastAsia" w:ascii="宋体" w:hAnsi="宋体" w:cs="宋体"/>
                <w:color w:val="000000"/>
                <w:szCs w:val="21"/>
              </w:rPr>
              <w:t>评分标准</w:t>
            </w:r>
          </w:p>
        </w:tc>
        <w:tc>
          <w:tcPr>
            <w:tcW w:w="1370" w:type="dxa"/>
            <w:vAlign w:val="center"/>
          </w:tcPr>
          <w:p>
            <w:pPr>
              <w:widowControl/>
              <w:adjustRightInd w:val="0"/>
              <w:spacing w:line="360" w:lineRule="auto"/>
              <w:jc w:val="center"/>
              <w:rPr>
                <w:rFonts w:ascii="宋体" w:hAnsi="宋体" w:cs="宋体"/>
                <w:color w:val="000000"/>
                <w:szCs w:val="21"/>
              </w:rPr>
            </w:pPr>
            <w:r>
              <w:rPr>
                <w:rFonts w:hint="eastAsia" w:ascii="宋体" w:hAnsi="宋体" w:cs="宋体"/>
                <w:color w:val="000000"/>
                <w:szCs w:val="21"/>
              </w:rPr>
              <w:t>说</w:t>
            </w:r>
            <w:r>
              <w:rPr>
                <w:rFonts w:ascii="宋体" w:hAnsi="宋体" w:cs="宋体"/>
                <w:color w:val="000000"/>
                <w:szCs w:val="21"/>
              </w:rPr>
              <w:t xml:space="preserve">    </w:t>
            </w:r>
            <w:r>
              <w:rPr>
                <w:rFonts w:hint="eastAsia" w:ascii="宋体" w:hAnsi="宋体" w:cs="宋体"/>
                <w:color w:val="000000"/>
                <w:szCs w:val="21"/>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90" w:type="dxa"/>
            <w:vAlign w:val="center"/>
          </w:tcPr>
          <w:p>
            <w:pPr>
              <w:adjustRightInd w:val="0"/>
              <w:spacing w:line="320" w:lineRule="exact"/>
              <w:ind w:firstLine="210" w:firstLineChars="100"/>
              <w:rPr>
                <w:rFonts w:ascii="宋体" w:hAnsi="宋体" w:cs="宋体"/>
                <w:color w:val="000000"/>
                <w:szCs w:val="21"/>
              </w:rPr>
            </w:pPr>
            <w:r>
              <w:rPr>
                <w:rFonts w:hint="eastAsia" w:ascii="宋体" w:hAnsi="宋体" w:cs="宋体"/>
                <w:color w:val="000000"/>
                <w:szCs w:val="21"/>
              </w:rPr>
              <w:t>1</w:t>
            </w:r>
          </w:p>
        </w:tc>
        <w:tc>
          <w:tcPr>
            <w:tcW w:w="1291" w:type="dxa"/>
            <w:vAlign w:val="center"/>
          </w:tcPr>
          <w:p>
            <w:pPr>
              <w:adjustRightInd w:val="0"/>
              <w:spacing w:line="320" w:lineRule="exact"/>
              <w:ind w:firstLine="210" w:firstLineChars="100"/>
              <w:rPr>
                <w:rFonts w:ascii="宋体" w:hAnsi="宋体" w:cs="宋体"/>
                <w:color w:val="000000"/>
                <w:szCs w:val="21"/>
              </w:rPr>
            </w:pPr>
            <w:r>
              <w:rPr>
                <w:rFonts w:hint="eastAsia" w:ascii="宋体" w:hAnsi="宋体" w:cs="宋体"/>
                <w:color w:val="000000"/>
                <w:szCs w:val="21"/>
              </w:rPr>
              <w:t>项目业绩</w:t>
            </w:r>
          </w:p>
        </w:tc>
        <w:tc>
          <w:tcPr>
            <w:tcW w:w="802" w:type="dxa"/>
            <w:vAlign w:val="center"/>
          </w:tcPr>
          <w:p>
            <w:pPr>
              <w:adjustRightInd w:val="0"/>
              <w:spacing w:line="320" w:lineRule="exact"/>
              <w:rPr>
                <w:rFonts w:ascii="宋体" w:hAnsi="宋体" w:cs="宋体"/>
                <w:color w:val="000000"/>
                <w:szCs w:val="21"/>
              </w:rPr>
            </w:pPr>
            <w:r>
              <w:rPr>
                <w:rFonts w:hint="eastAsia" w:ascii="宋体" w:hAnsi="宋体" w:cs="宋体"/>
                <w:color w:val="000000"/>
                <w:szCs w:val="21"/>
              </w:rPr>
              <w:t>10</w:t>
            </w:r>
          </w:p>
        </w:tc>
        <w:tc>
          <w:tcPr>
            <w:tcW w:w="4996" w:type="dxa"/>
            <w:vAlign w:val="center"/>
          </w:tcPr>
          <w:p>
            <w:pPr>
              <w:spacing w:line="360" w:lineRule="auto"/>
              <w:rPr>
                <w:szCs w:val="21"/>
              </w:rPr>
            </w:pPr>
            <w:r>
              <w:rPr>
                <w:rFonts w:hint="eastAsia"/>
                <w:szCs w:val="21"/>
              </w:rPr>
              <w:t>服务商提供近三年（</w:t>
            </w:r>
            <w:r>
              <w:rPr>
                <w:szCs w:val="21"/>
              </w:rPr>
              <w:t>201</w:t>
            </w:r>
            <w:r>
              <w:rPr>
                <w:rFonts w:hint="eastAsia"/>
                <w:szCs w:val="21"/>
              </w:rPr>
              <w:t>9年</w:t>
            </w:r>
            <w:r>
              <w:rPr>
                <w:szCs w:val="21"/>
              </w:rPr>
              <w:t>1</w:t>
            </w:r>
            <w:r>
              <w:rPr>
                <w:rFonts w:hint="eastAsia"/>
                <w:szCs w:val="21"/>
              </w:rPr>
              <w:t>月至今）每年行业业绩，每一份得2分，最多得10分。</w:t>
            </w:r>
          </w:p>
        </w:tc>
        <w:tc>
          <w:tcPr>
            <w:tcW w:w="1370" w:type="dxa"/>
            <w:vAlign w:val="center"/>
          </w:tcPr>
          <w:p>
            <w:pPr>
              <w:adjustRightInd w:val="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90" w:type="dxa"/>
            <w:vAlign w:val="center"/>
          </w:tcPr>
          <w:p>
            <w:pPr>
              <w:adjustRightInd w:val="0"/>
              <w:spacing w:line="320" w:lineRule="exact"/>
              <w:ind w:firstLine="210" w:firstLineChars="100"/>
              <w:rPr>
                <w:rFonts w:ascii="宋体" w:hAnsi="宋体" w:cs="宋体"/>
                <w:color w:val="000000"/>
                <w:szCs w:val="21"/>
              </w:rPr>
            </w:pPr>
            <w:r>
              <w:rPr>
                <w:rFonts w:hint="eastAsia" w:ascii="宋体" w:hAnsi="宋体" w:cs="宋体"/>
                <w:color w:val="000000"/>
                <w:szCs w:val="21"/>
              </w:rPr>
              <w:t>2</w:t>
            </w:r>
          </w:p>
        </w:tc>
        <w:tc>
          <w:tcPr>
            <w:tcW w:w="1291" w:type="dxa"/>
            <w:vAlign w:val="center"/>
          </w:tcPr>
          <w:p>
            <w:pPr>
              <w:adjustRightInd w:val="0"/>
              <w:spacing w:line="320" w:lineRule="exact"/>
              <w:ind w:firstLine="210" w:firstLineChars="100"/>
              <w:rPr>
                <w:rFonts w:ascii="宋体" w:hAnsi="宋体" w:cs="宋体"/>
                <w:color w:val="000000"/>
                <w:szCs w:val="21"/>
              </w:rPr>
            </w:pPr>
            <w:r>
              <w:rPr>
                <w:rFonts w:hint="eastAsia"/>
                <w:szCs w:val="21"/>
              </w:rPr>
              <w:t>服务保障</w:t>
            </w:r>
          </w:p>
        </w:tc>
        <w:tc>
          <w:tcPr>
            <w:tcW w:w="802" w:type="dxa"/>
            <w:vAlign w:val="center"/>
          </w:tcPr>
          <w:p>
            <w:pPr>
              <w:adjustRightInd w:val="0"/>
              <w:spacing w:line="320" w:lineRule="exact"/>
              <w:rPr>
                <w:rFonts w:ascii="宋体" w:hAnsi="宋体" w:cs="宋体"/>
                <w:color w:val="000000"/>
                <w:szCs w:val="21"/>
              </w:rPr>
            </w:pPr>
            <w:r>
              <w:rPr>
                <w:rFonts w:hint="eastAsia" w:hAnsi="宋体"/>
                <w:szCs w:val="21"/>
              </w:rPr>
              <w:t>20</w:t>
            </w:r>
          </w:p>
        </w:tc>
        <w:tc>
          <w:tcPr>
            <w:tcW w:w="4996" w:type="dxa"/>
          </w:tcPr>
          <w:p>
            <w:pPr>
              <w:spacing w:line="360" w:lineRule="auto"/>
              <w:rPr>
                <w:szCs w:val="21"/>
              </w:rPr>
            </w:pPr>
            <w:r>
              <w:rPr>
                <w:rFonts w:hint="eastAsia"/>
                <w:szCs w:val="21"/>
              </w:rPr>
              <w:t>质量控制及服务保障措施：根据服务商对本采购项目制定的质量控制及服务保障措施的合理性和有效性等方面进行综合评审。质量管理保证、技术管理保证、进度管理措施完善，项目实施全过程质量控制措施完整有效。优得</w:t>
            </w:r>
            <w:r>
              <w:rPr>
                <w:szCs w:val="21"/>
              </w:rPr>
              <w:t>10-</w:t>
            </w:r>
            <w:r>
              <w:rPr>
                <w:rFonts w:hint="eastAsia"/>
                <w:szCs w:val="21"/>
              </w:rPr>
              <w:t>20分，良得</w:t>
            </w:r>
            <w:r>
              <w:rPr>
                <w:szCs w:val="21"/>
              </w:rPr>
              <w:t>5-</w:t>
            </w:r>
            <w:r>
              <w:rPr>
                <w:rFonts w:hint="eastAsia"/>
                <w:szCs w:val="21"/>
              </w:rPr>
              <w:t>9分，一般得</w:t>
            </w:r>
            <w:r>
              <w:rPr>
                <w:szCs w:val="21"/>
              </w:rPr>
              <w:t>1-</w:t>
            </w:r>
            <w:r>
              <w:rPr>
                <w:rFonts w:hint="eastAsia"/>
                <w:szCs w:val="21"/>
              </w:rPr>
              <w:t>4分。</w:t>
            </w:r>
          </w:p>
        </w:tc>
        <w:tc>
          <w:tcPr>
            <w:tcW w:w="1370" w:type="dxa"/>
            <w:vAlign w:val="center"/>
          </w:tcPr>
          <w:p>
            <w:pPr>
              <w:adjustRightInd w:val="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90" w:type="dxa"/>
            <w:vAlign w:val="center"/>
          </w:tcPr>
          <w:p>
            <w:pPr>
              <w:adjustRightInd w:val="0"/>
              <w:spacing w:line="320" w:lineRule="exact"/>
              <w:ind w:firstLine="210" w:firstLineChars="100"/>
              <w:rPr>
                <w:rFonts w:ascii="宋体" w:hAnsi="宋体" w:cs="宋体"/>
                <w:color w:val="000000"/>
                <w:szCs w:val="21"/>
              </w:rPr>
            </w:pPr>
            <w:r>
              <w:rPr>
                <w:rFonts w:hint="eastAsia" w:ascii="宋体" w:hAnsi="宋体" w:cs="宋体"/>
                <w:color w:val="000000"/>
                <w:szCs w:val="21"/>
              </w:rPr>
              <w:t>3</w:t>
            </w:r>
          </w:p>
        </w:tc>
        <w:tc>
          <w:tcPr>
            <w:tcW w:w="1291" w:type="dxa"/>
            <w:vAlign w:val="center"/>
          </w:tcPr>
          <w:p>
            <w:pPr>
              <w:adjustRightInd w:val="0"/>
              <w:spacing w:line="320" w:lineRule="exact"/>
              <w:ind w:firstLine="210" w:firstLineChars="100"/>
              <w:rPr>
                <w:szCs w:val="21"/>
              </w:rPr>
            </w:pPr>
            <w:r>
              <w:rPr>
                <w:rFonts w:hint="eastAsia" w:hAnsi="宋体"/>
                <w:szCs w:val="21"/>
              </w:rPr>
              <w:t>服务方案</w:t>
            </w:r>
          </w:p>
        </w:tc>
        <w:tc>
          <w:tcPr>
            <w:tcW w:w="802" w:type="dxa"/>
            <w:vAlign w:val="center"/>
          </w:tcPr>
          <w:p>
            <w:pPr>
              <w:adjustRightInd w:val="0"/>
              <w:spacing w:line="320" w:lineRule="exact"/>
              <w:rPr>
                <w:rFonts w:hAnsi="宋体"/>
                <w:szCs w:val="21"/>
              </w:rPr>
            </w:pPr>
            <w:r>
              <w:rPr>
                <w:rFonts w:hint="eastAsia" w:hAnsi="宋体"/>
                <w:szCs w:val="21"/>
              </w:rPr>
              <w:t>30</w:t>
            </w:r>
          </w:p>
        </w:tc>
        <w:tc>
          <w:tcPr>
            <w:tcW w:w="4996" w:type="dxa"/>
          </w:tcPr>
          <w:p>
            <w:pPr>
              <w:spacing w:line="360" w:lineRule="auto"/>
              <w:jc w:val="left"/>
              <w:rPr>
                <w:szCs w:val="21"/>
              </w:rPr>
            </w:pPr>
            <w:r>
              <w:rPr>
                <w:rFonts w:hint="eastAsia"/>
                <w:szCs w:val="21"/>
              </w:rPr>
              <w:t>服务方案：根据服务商对本采购项目编制的服务实施方案是否全面、科学合理等方面进行综合评审，对项目实施方案进行评分：实施方案内容系统、完善，优得2</w:t>
            </w:r>
            <w:r>
              <w:rPr>
                <w:szCs w:val="21"/>
              </w:rPr>
              <w:t>0-</w:t>
            </w:r>
            <w:r>
              <w:rPr>
                <w:rFonts w:hint="eastAsia"/>
                <w:szCs w:val="21"/>
              </w:rPr>
              <w:t>30分，良得10</w:t>
            </w:r>
            <w:r>
              <w:rPr>
                <w:szCs w:val="21"/>
              </w:rPr>
              <w:t>-</w:t>
            </w:r>
            <w:r>
              <w:rPr>
                <w:rFonts w:hint="eastAsia"/>
                <w:szCs w:val="21"/>
              </w:rPr>
              <w:t>19分，一般得</w:t>
            </w:r>
            <w:r>
              <w:rPr>
                <w:szCs w:val="21"/>
              </w:rPr>
              <w:t>1-</w:t>
            </w:r>
            <w:r>
              <w:rPr>
                <w:rFonts w:hint="eastAsia"/>
                <w:szCs w:val="21"/>
              </w:rPr>
              <w:t>9分。</w:t>
            </w:r>
          </w:p>
        </w:tc>
        <w:tc>
          <w:tcPr>
            <w:tcW w:w="1370" w:type="dxa"/>
            <w:vAlign w:val="center"/>
          </w:tcPr>
          <w:p>
            <w:pPr>
              <w:adjustRightInd w:val="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590" w:type="dxa"/>
            <w:vAlign w:val="center"/>
          </w:tcPr>
          <w:p>
            <w:pPr>
              <w:pStyle w:val="7"/>
              <w:spacing w:line="288" w:lineRule="auto"/>
              <w:ind w:left="157"/>
              <w:rPr>
                <w:rFonts w:hAnsi="宋体" w:cs="宋体"/>
                <w:color w:val="auto"/>
                <w:sz w:val="21"/>
                <w:szCs w:val="21"/>
              </w:rPr>
            </w:pPr>
            <w:r>
              <w:rPr>
                <w:rFonts w:hint="eastAsia" w:hAnsi="宋体" w:cs="宋体"/>
                <w:color w:val="auto"/>
                <w:sz w:val="21"/>
                <w:szCs w:val="21"/>
              </w:rPr>
              <w:t>4</w:t>
            </w:r>
          </w:p>
        </w:tc>
        <w:tc>
          <w:tcPr>
            <w:tcW w:w="1291" w:type="dxa"/>
            <w:vAlign w:val="center"/>
          </w:tcPr>
          <w:p>
            <w:pPr>
              <w:pStyle w:val="7"/>
              <w:spacing w:line="288" w:lineRule="auto"/>
              <w:ind w:left="157"/>
              <w:rPr>
                <w:rFonts w:hAnsi="宋体" w:cs="宋体"/>
                <w:color w:val="auto"/>
                <w:sz w:val="21"/>
                <w:szCs w:val="21"/>
              </w:rPr>
            </w:pPr>
            <w:r>
              <w:rPr>
                <w:rFonts w:hint="eastAsia" w:hAnsi="宋体" w:cs="宋体"/>
                <w:color w:val="auto"/>
                <w:sz w:val="21"/>
                <w:szCs w:val="21"/>
              </w:rPr>
              <w:t>响应报价评分标准</w:t>
            </w:r>
          </w:p>
        </w:tc>
        <w:tc>
          <w:tcPr>
            <w:tcW w:w="802" w:type="dxa"/>
            <w:vAlign w:val="center"/>
          </w:tcPr>
          <w:p>
            <w:pPr>
              <w:pStyle w:val="7"/>
              <w:spacing w:line="288" w:lineRule="auto"/>
              <w:ind w:left="157"/>
              <w:rPr>
                <w:rFonts w:hAnsi="宋体" w:cs="宋体"/>
                <w:color w:val="auto"/>
                <w:sz w:val="21"/>
                <w:szCs w:val="21"/>
              </w:rPr>
            </w:pPr>
            <w:r>
              <w:rPr>
                <w:rFonts w:hAnsi="宋体" w:cs="宋体"/>
                <w:color w:val="auto"/>
                <w:sz w:val="21"/>
                <w:szCs w:val="21"/>
              </w:rPr>
              <w:t>40</w:t>
            </w:r>
          </w:p>
        </w:tc>
        <w:tc>
          <w:tcPr>
            <w:tcW w:w="4996" w:type="dxa"/>
            <w:vAlign w:val="center"/>
          </w:tcPr>
          <w:p>
            <w:pPr>
              <w:pStyle w:val="7"/>
              <w:wordWrap w:val="0"/>
              <w:adjustRightInd/>
              <w:spacing w:line="360" w:lineRule="exact"/>
              <w:rPr>
                <w:rFonts w:ascii="Times New Roman"/>
                <w:kern w:val="2"/>
                <w:sz w:val="21"/>
                <w:szCs w:val="21"/>
              </w:rPr>
            </w:pPr>
            <w:r>
              <w:rPr>
                <w:rFonts w:hint="eastAsia" w:ascii="Times New Roman"/>
                <w:kern w:val="2"/>
                <w:sz w:val="21"/>
                <w:szCs w:val="21"/>
              </w:rPr>
              <w:t>价格分采用低价优先法计算，即满足采购文件要求且最后报价最低的服务商的价格为评标基准价，其价格分为满分。其他服务商的价格分统一按照下列公式计算：</w:t>
            </w:r>
          </w:p>
          <w:p>
            <w:pPr>
              <w:pStyle w:val="7"/>
              <w:spacing w:line="288" w:lineRule="auto"/>
              <w:rPr>
                <w:rFonts w:hAnsi="宋体" w:cs="宋体"/>
                <w:color w:val="auto"/>
                <w:sz w:val="21"/>
                <w:szCs w:val="21"/>
              </w:rPr>
            </w:pPr>
            <w:r>
              <w:rPr>
                <w:rFonts w:hint="eastAsia" w:ascii="Times New Roman"/>
                <w:kern w:val="2"/>
                <w:sz w:val="21"/>
                <w:szCs w:val="21"/>
              </w:rPr>
              <w:t>报价得分=(评标基准价／响应报价)×40         注：</w:t>
            </w:r>
            <w:r>
              <w:rPr>
                <w:rFonts w:ascii="Times New Roman"/>
                <w:kern w:val="2"/>
                <w:sz w:val="21"/>
                <w:szCs w:val="21"/>
              </w:rPr>
              <w:t>计算结果不为整数时保留2位小数</w:t>
            </w:r>
            <w:r>
              <w:rPr>
                <w:rFonts w:hint="eastAsia" w:ascii="Times New Roman"/>
                <w:kern w:val="2"/>
                <w:sz w:val="21"/>
                <w:szCs w:val="21"/>
              </w:rPr>
              <w:t>。</w:t>
            </w:r>
          </w:p>
        </w:tc>
        <w:tc>
          <w:tcPr>
            <w:tcW w:w="1370" w:type="dxa"/>
            <w:vAlign w:val="center"/>
          </w:tcPr>
          <w:p>
            <w:pPr>
              <w:pStyle w:val="7"/>
              <w:spacing w:line="288" w:lineRule="auto"/>
              <w:ind w:left="157"/>
              <w:rPr>
                <w:rFonts w:hAnsi="宋体" w:cs="宋体"/>
                <w:color w:val="auto"/>
                <w:sz w:val="21"/>
                <w:szCs w:val="21"/>
              </w:rPr>
            </w:pPr>
          </w:p>
        </w:tc>
      </w:tr>
    </w:tbl>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1.评审方法</w:t>
      </w:r>
    </w:p>
    <w:p>
      <w:pPr>
        <w:spacing w:line="360" w:lineRule="auto"/>
        <w:ind w:firstLine="420" w:firstLineChars="200"/>
        <w:rPr>
          <w:rFonts w:ascii="宋体" w:hAnsi="宋体" w:cs="宋体"/>
          <w:szCs w:val="21"/>
        </w:rPr>
      </w:pPr>
      <w:r>
        <w:rPr>
          <w:rFonts w:hint="eastAsia" w:ascii="宋体" w:hAnsi="宋体" w:cs="宋体"/>
          <w:szCs w:val="21"/>
        </w:rPr>
        <w:t>1.1.1本次询比采购采用综合评审法。询比小组对满足采购文件实质性要求的响应文件、按评分标准进行集中评审。</w:t>
      </w:r>
    </w:p>
    <w:p>
      <w:pPr>
        <w:spacing w:line="360" w:lineRule="auto"/>
        <w:ind w:firstLine="420"/>
        <w:contextualSpacing/>
        <w:rPr>
          <w:rFonts w:ascii="宋体" w:hAnsi="宋体"/>
          <w:szCs w:val="21"/>
        </w:rPr>
      </w:pPr>
      <w:r>
        <w:rPr>
          <w:rFonts w:hint="eastAsia" w:ascii="宋体" w:hAnsi="宋体"/>
          <w:szCs w:val="21"/>
        </w:rPr>
        <w:t>1.1.2</w:t>
      </w:r>
      <w:r>
        <w:rPr>
          <w:rFonts w:hint="eastAsia" w:ascii="宋体" w:hAnsi="宋体"/>
        </w:rPr>
        <w:t>询比小组</w:t>
      </w:r>
      <w:r>
        <w:rPr>
          <w:rFonts w:hint="eastAsia" w:ascii="宋体" w:hAnsi="宋体"/>
          <w:szCs w:val="21"/>
        </w:rPr>
        <w:t>设组长1人，由</w:t>
      </w:r>
      <w:r>
        <w:rPr>
          <w:rFonts w:hint="eastAsia" w:ascii="宋体" w:hAnsi="宋体"/>
        </w:rPr>
        <w:t>询比小组</w:t>
      </w:r>
      <w:r>
        <w:rPr>
          <w:rFonts w:hint="eastAsia" w:ascii="宋体" w:hAnsi="宋体"/>
          <w:szCs w:val="21"/>
        </w:rPr>
        <w:t>推选产生。</w:t>
      </w:r>
    </w:p>
    <w:p>
      <w:pPr>
        <w:spacing w:line="360" w:lineRule="auto"/>
        <w:rPr>
          <w:rFonts w:ascii="宋体" w:hAnsi="宋体" w:cs="宋体"/>
          <w:b/>
          <w:szCs w:val="21"/>
        </w:rPr>
      </w:pPr>
      <w:r>
        <w:rPr>
          <w:rFonts w:hint="eastAsia" w:ascii="宋体" w:hAnsi="宋体" w:cs="宋体"/>
          <w:b/>
          <w:szCs w:val="21"/>
        </w:rPr>
        <w:t>2.评审标准</w:t>
      </w:r>
    </w:p>
    <w:p>
      <w:pPr>
        <w:tabs>
          <w:tab w:val="left" w:pos="620"/>
        </w:tabs>
        <w:spacing w:line="360" w:lineRule="auto"/>
        <w:ind w:firstLine="105" w:firstLineChars="50"/>
        <w:rPr>
          <w:rFonts w:ascii="宋体" w:hAnsi="宋体" w:cs="宋体"/>
          <w:b/>
          <w:szCs w:val="21"/>
        </w:rPr>
      </w:pPr>
      <w:r>
        <w:rPr>
          <w:rFonts w:hint="eastAsia" w:ascii="宋体" w:hAnsi="宋体" w:cs="宋体"/>
          <w:b/>
          <w:szCs w:val="21"/>
        </w:rPr>
        <w:t>2.1初步评审标准</w:t>
      </w:r>
    </w:p>
    <w:p>
      <w:pPr>
        <w:spacing w:line="360" w:lineRule="auto"/>
        <w:ind w:firstLine="420" w:firstLineChars="200"/>
        <w:rPr>
          <w:rFonts w:ascii="宋体" w:hAnsi="宋体" w:cs="宋体"/>
          <w:szCs w:val="21"/>
        </w:rPr>
      </w:pPr>
      <w:r>
        <w:rPr>
          <w:rFonts w:hint="eastAsia" w:ascii="宋体" w:hAnsi="宋体" w:cs="宋体"/>
          <w:szCs w:val="21"/>
        </w:rPr>
        <w:t>2.1.1形式评审标准：见评审办法前附表。</w:t>
      </w:r>
    </w:p>
    <w:p>
      <w:pPr>
        <w:spacing w:line="360" w:lineRule="auto"/>
        <w:ind w:firstLine="420" w:firstLineChars="200"/>
        <w:rPr>
          <w:rFonts w:ascii="宋体" w:hAnsi="宋体" w:cs="宋体"/>
          <w:szCs w:val="21"/>
        </w:rPr>
      </w:pPr>
      <w:r>
        <w:rPr>
          <w:rFonts w:hint="eastAsia" w:ascii="宋体" w:hAnsi="宋体" w:cs="宋体"/>
          <w:szCs w:val="21"/>
        </w:rPr>
        <w:t>2.1.2资格评审标准：见评审办法前附表。</w:t>
      </w:r>
    </w:p>
    <w:p>
      <w:pPr>
        <w:spacing w:line="360" w:lineRule="auto"/>
        <w:ind w:firstLine="420" w:firstLineChars="200"/>
        <w:rPr>
          <w:rFonts w:ascii="宋体" w:hAnsi="宋体" w:cs="宋体"/>
          <w:szCs w:val="21"/>
        </w:rPr>
      </w:pPr>
      <w:r>
        <w:rPr>
          <w:rFonts w:hint="eastAsia" w:ascii="宋体" w:hAnsi="宋体" w:cs="宋体"/>
          <w:szCs w:val="21"/>
        </w:rPr>
        <w:t>2.1.3响应性评审标准：见评审办法前附表。</w:t>
      </w:r>
    </w:p>
    <w:p>
      <w:pPr>
        <w:tabs>
          <w:tab w:val="left" w:pos="620"/>
        </w:tabs>
        <w:spacing w:line="360" w:lineRule="auto"/>
        <w:ind w:firstLine="105" w:firstLineChars="50"/>
        <w:rPr>
          <w:rFonts w:ascii="宋体" w:hAnsi="宋体" w:cs="宋体"/>
          <w:b/>
          <w:szCs w:val="21"/>
        </w:rPr>
      </w:pPr>
      <w:r>
        <w:rPr>
          <w:rFonts w:hint="eastAsia" w:ascii="宋体" w:hAnsi="宋体" w:cs="宋体"/>
          <w:b/>
          <w:szCs w:val="21"/>
        </w:rPr>
        <w:t>2.2询比</w:t>
      </w:r>
    </w:p>
    <w:p>
      <w:pPr>
        <w:spacing w:line="360" w:lineRule="auto"/>
        <w:ind w:firstLine="420" w:firstLineChars="200"/>
        <w:rPr>
          <w:rFonts w:ascii="宋体" w:hAnsi="宋体" w:cs="宋体"/>
          <w:szCs w:val="21"/>
        </w:rPr>
      </w:pPr>
      <w:r>
        <w:rPr>
          <w:rFonts w:hint="eastAsia" w:ascii="宋体" w:hAnsi="宋体" w:cs="宋体"/>
          <w:szCs w:val="21"/>
        </w:rPr>
        <w:t>2.2.1询比方式：见评审办法前附表。</w:t>
      </w:r>
    </w:p>
    <w:p>
      <w:pPr>
        <w:spacing w:line="360" w:lineRule="auto"/>
        <w:ind w:firstLine="420" w:firstLineChars="200"/>
        <w:rPr>
          <w:rFonts w:ascii="宋体" w:hAnsi="宋体" w:cs="宋体"/>
          <w:szCs w:val="21"/>
        </w:rPr>
      </w:pPr>
      <w:r>
        <w:rPr>
          <w:rFonts w:hint="eastAsia" w:ascii="宋体" w:hAnsi="宋体" w:cs="宋体"/>
          <w:szCs w:val="21"/>
        </w:rPr>
        <w:t>2.2.2价格调整：见评审办法前附表。</w:t>
      </w:r>
    </w:p>
    <w:p>
      <w:pPr>
        <w:tabs>
          <w:tab w:val="left" w:pos="400"/>
        </w:tabs>
        <w:spacing w:line="360" w:lineRule="auto"/>
        <w:rPr>
          <w:rFonts w:ascii="宋体" w:hAnsi="宋体" w:cs="宋体"/>
          <w:b/>
          <w:szCs w:val="21"/>
        </w:rPr>
      </w:pPr>
      <w:r>
        <w:rPr>
          <w:rFonts w:hint="eastAsia" w:ascii="宋体" w:hAnsi="宋体" w:cs="宋体"/>
          <w:b/>
          <w:szCs w:val="21"/>
        </w:rPr>
        <w:t>3.评审程序</w:t>
      </w:r>
    </w:p>
    <w:p>
      <w:pPr>
        <w:tabs>
          <w:tab w:val="left" w:pos="620"/>
        </w:tabs>
        <w:spacing w:line="360" w:lineRule="auto"/>
        <w:ind w:firstLine="105" w:firstLineChars="50"/>
        <w:rPr>
          <w:rFonts w:ascii="宋体" w:hAnsi="宋体" w:cs="宋体"/>
          <w:b/>
          <w:szCs w:val="21"/>
        </w:rPr>
      </w:pPr>
      <w:r>
        <w:rPr>
          <w:rFonts w:hint="eastAsia" w:ascii="宋体" w:hAnsi="宋体" w:cs="宋体"/>
          <w:b/>
          <w:szCs w:val="21"/>
        </w:rPr>
        <w:t>3.1初步评审</w:t>
      </w:r>
    </w:p>
    <w:p>
      <w:pPr>
        <w:spacing w:line="360" w:lineRule="auto"/>
        <w:ind w:firstLine="420" w:firstLineChars="200"/>
        <w:rPr>
          <w:rFonts w:ascii="宋体" w:hAnsi="宋体" w:cs="宋体"/>
          <w:szCs w:val="21"/>
        </w:rPr>
      </w:pPr>
      <w:r>
        <w:rPr>
          <w:rFonts w:hint="eastAsia" w:ascii="宋体" w:hAnsi="宋体" w:cs="宋体"/>
          <w:szCs w:val="21"/>
        </w:rPr>
        <w:t>3.1.1询比小组可以要求服务商提交第二章“服务商须知”规定的有关证明和证件的原件，以便核验。询比小组依据本章第 2.1 款规定的标准对响应文件进行初步评审。有一项不符合评审标准的，询比小组应当否决其响应。</w:t>
      </w:r>
    </w:p>
    <w:p>
      <w:pPr>
        <w:spacing w:line="360" w:lineRule="auto"/>
        <w:ind w:firstLine="420" w:firstLineChars="200"/>
        <w:rPr>
          <w:rFonts w:ascii="宋体" w:hAnsi="宋体" w:cs="宋体"/>
          <w:szCs w:val="21"/>
        </w:rPr>
      </w:pPr>
      <w:r>
        <w:rPr>
          <w:rFonts w:hint="eastAsia" w:ascii="宋体" w:hAnsi="宋体" w:cs="宋体"/>
          <w:szCs w:val="21"/>
        </w:rPr>
        <w:t>3.1.2服务商有以下情形之一的，询比小组应当否决其响应：</w:t>
      </w:r>
    </w:p>
    <w:p>
      <w:pPr>
        <w:spacing w:line="360" w:lineRule="auto"/>
        <w:ind w:firstLine="420" w:firstLineChars="200"/>
        <w:rPr>
          <w:rFonts w:ascii="宋体" w:hAnsi="宋体" w:cs="宋体"/>
          <w:szCs w:val="21"/>
        </w:rPr>
      </w:pPr>
      <w:r>
        <w:rPr>
          <w:rFonts w:hint="eastAsia" w:ascii="宋体" w:hAnsi="宋体" w:cs="宋体"/>
          <w:szCs w:val="21"/>
        </w:rPr>
        <w:t>（1）响应文件没有对采购文件的实质性要求和条件作出响应，或者对采购文件的偏差超出采购文件规定的偏差范围或最高</w:t>
      </w:r>
      <w:r>
        <w:rPr>
          <w:rFonts w:hint="eastAsia" w:ascii="宋体" w:hAnsi="宋体" w:cs="宋体"/>
          <w:color w:val="000000"/>
          <w:szCs w:val="21"/>
        </w:rPr>
        <w:t>项数</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（2）有串通参加采购活动、弄虚作假、行贿等违法行为。</w:t>
      </w:r>
    </w:p>
    <w:p>
      <w:pPr>
        <w:spacing w:line="360" w:lineRule="auto"/>
        <w:ind w:firstLine="420" w:firstLineChars="200"/>
        <w:rPr>
          <w:rFonts w:ascii="宋体" w:hAnsi="宋体" w:cs="宋体"/>
          <w:szCs w:val="21"/>
        </w:rPr>
      </w:pPr>
      <w:r>
        <w:rPr>
          <w:rFonts w:hint="eastAsia" w:ascii="宋体" w:hAnsi="宋体" w:cs="宋体"/>
          <w:szCs w:val="21"/>
        </w:rPr>
        <w:t>3.1.3 响应报价有算术错误及其他错误的，询比小组按以下原则要求服务商对响应报价进行修正，并要求服务商书面澄清确认。服务商拒不澄清确认的，询比小组应当否决其响应：</w:t>
      </w:r>
    </w:p>
    <w:p>
      <w:pPr>
        <w:spacing w:line="360" w:lineRule="auto"/>
        <w:ind w:firstLine="420" w:firstLineChars="200"/>
        <w:rPr>
          <w:rFonts w:ascii="宋体" w:hAnsi="宋体" w:cs="宋体"/>
          <w:szCs w:val="21"/>
        </w:rPr>
      </w:pPr>
      <w:bookmarkStart w:id="545" w:name="page48"/>
      <w:bookmarkEnd w:id="545"/>
      <w:r>
        <w:rPr>
          <w:rFonts w:hint="eastAsia" w:ascii="宋体" w:hAnsi="宋体" w:cs="宋体"/>
          <w:szCs w:val="21"/>
        </w:rPr>
        <w:t>（1）响应文件中的大写金额与小写金额不一致的，以大写金额为准；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（2）总价金额与单价金额不一致的，以单价金额为准，但单价金额小数点有明显错误的除外；</w:t>
      </w:r>
    </w:p>
    <w:p>
      <w:pPr>
        <w:spacing w:line="360" w:lineRule="auto"/>
        <w:ind w:firstLine="420" w:firstLineChars="200"/>
        <w:rPr>
          <w:rFonts w:ascii="宋体" w:hAnsi="宋体" w:cs="宋体"/>
          <w:szCs w:val="21"/>
        </w:rPr>
      </w:pPr>
      <w:r>
        <w:rPr>
          <w:rFonts w:hint="eastAsia" w:ascii="宋体" w:hAnsi="宋体" w:cs="宋体"/>
          <w:szCs w:val="21"/>
        </w:rPr>
        <w:t>（3）响应报价为各分项报价金额之和，响应报价与分项报价的合价不一致的，应以各分项合价累计数为准，修正响应报价；</w:t>
      </w:r>
    </w:p>
    <w:p>
      <w:pPr>
        <w:spacing w:line="360" w:lineRule="auto"/>
        <w:ind w:firstLine="420" w:firstLineChars="200"/>
        <w:rPr>
          <w:rFonts w:ascii="宋体" w:hAnsi="宋体" w:cs="宋体"/>
          <w:szCs w:val="21"/>
        </w:rPr>
      </w:pPr>
      <w:r>
        <w:rPr>
          <w:rFonts w:hint="eastAsia" w:ascii="宋体" w:hAnsi="宋体" w:cs="宋体"/>
          <w:szCs w:val="21"/>
        </w:rPr>
        <w:t>（4）如果分项报价中存在缺漏项，则视为缺漏项价格已包含在其他分项报价之中。</w:t>
      </w:r>
    </w:p>
    <w:p>
      <w:pPr>
        <w:tabs>
          <w:tab w:val="left" w:pos="620"/>
        </w:tabs>
        <w:spacing w:line="360" w:lineRule="auto"/>
        <w:ind w:firstLine="105" w:firstLineChars="50"/>
        <w:rPr>
          <w:rFonts w:ascii="宋体" w:hAnsi="宋体" w:cs="宋体"/>
          <w:b/>
          <w:szCs w:val="21"/>
        </w:rPr>
      </w:pPr>
      <w:r>
        <w:rPr>
          <w:rFonts w:hint="eastAsia" w:ascii="宋体" w:hAnsi="宋体" w:cs="宋体"/>
          <w:b/>
          <w:szCs w:val="21"/>
        </w:rPr>
        <w:t>3.2询比</w:t>
      </w:r>
    </w:p>
    <w:p>
      <w:pPr>
        <w:spacing w:line="360" w:lineRule="auto"/>
        <w:ind w:firstLine="420" w:firstLineChars="200"/>
        <w:rPr>
          <w:rFonts w:ascii="宋体" w:hAnsi="宋体" w:cs="宋体"/>
          <w:szCs w:val="21"/>
        </w:rPr>
      </w:pPr>
      <w:r>
        <w:rPr>
          <w:rFonts w:hint="eastAsia" w:ascii="宋体" w:hAnsi="宋体" w:cs="宋体"/>
          <w:szCs w:val="21"/>
        </w:rPr>
        <w:t>询比小组发现服务商的报价明显低于其他响应报价，使得其响应报价可能低于其成本的，应当要求该服务商作出书面说明并提供相应的证明材料。服务商不能合理说明或者不能提供相应证明材料的，由询比小组认定该服务商以低于成本报价，并否决其响应。</w:t>
      </w:r>
    </w:p>
    <w:p>
      <w:pPr>
        <w:tabs>
          <w:tab w:val="left" w:pos="620"/>
        </w:tabs>
        <w:spacing w:line="360" w:lineRule="auto"/>
        <w:ind w:firstLine="105" w:firstLineChars="50"/>
        <w:rPr>
          <w:rFonts w:ascii="宋体" w:hAnsi="宋体" w:cs="宋体"/>
          <w:b/>
          <w:szCs w:val="21"/>
        </w:rPr>
      </w:pPr>
      <w:r>
        <w:rPr>
          <w:rFonts w:hint="eastAsia" w:ascii="宋体" w:hAnsi="宋体" w:cs="宋体"/>
          <w:b/>
          <w:szCs w:val="21"/>
        </w:rPr>
        <w:t>3.3响应文件的澄清</w:t>
      </w:r>
    </w:p>
    <w:p>
      <w:pPr>
        <w:spacing w:line="360" w:lineRule="auto"/>
        <w:ind w:firstLine="420" w:firstLineChars="200"/>
        <w:rPr>
          <w:rFonts w:ascii="宋体" w:hAnsi="宋体" w:cs="宋体"/>
          <w:szCs w:val="21"/>
        </w:rPr>
      </w:pPr>
      <w:r>
        <w:rPr>
          <w:rFonts w:hint="eastAsia" w:ascii="宋体" w:hAnsi="宋体" w:cs="宋体"/>
          <w:szCs w:val="21"/>
        </w:rPr>
        <w:t>3.3.1询比小组在对响应文件进行审查时，询比小组可以书面形式要求服务商对响应文件中含义不明确、对同类问题表述不一致或者有明显文字和计算错误的内容作必要的澄清、说明或补正。服务商的澄清、说明或补正应以书面方式进行，不得超出响应文件的范围或者改变响应文件的实质性内容，并构成响应文件的组成部分。询比小组不接受服务商主动提出的澄清、说明或补正。</w:t>
      </w:r>
    </w:p>
    <w:p>
      <w:pPr>
        <w:spacing w:line="360" w:lineRule="auto"/>
        <w:ind w:firstLine="420" w:firstLineChars="200"/>
        <w:rPr>
          <w:rFonts w:ascii="宋体" w:hAnsi="宋体" w:cs="宋体"/>
          <w:szCs w:val="21"/>
        </w:rPr>
      </w:pPr>
      <w:r>
        <w:rPr>
          <w:rFonts w:hint="eastAsia" w:ascii="宋体" w:hAnsi="宋体" w:cs="宋体"/>
          <w:szCs w:val="21"/>
        </w:rPr>
        <w:t>3.3.2询比小组要求服务商澄清、说明或者补正响应文件应当以书面形式作出。服务商的澄清、说明或者补正应当由法定代表人或其委托代理人签字。</w:t>
      </w:r>
    </w:p>
    <w:p>
      <w:pPr>
        <w:spacing w:line="360" w:lineRule="auto"/>
        <w:ind w:firstLine="420" w:firstLineChars="200"/>
        <w:rPr>
          <w:rFonts w:ascii="宋体" w:hAnsi="宋体" w:cs="宋体"/>
          <w:szCs w:val="21"/>
        </w:rPr>
      </w:pPr>
      <w:r>
        <w:rPr>
          <w:rFonts w:hint="eastAsia" w:ascii="宋体" w:hAnsi="宋体" w:cs="宋体"/>
          <w:szCs w:val="21"/>
        </w:rPr>
        <w:t>3.3.3询比小组对服务商提交的澄清、说明或补正有疑问的，可以要求服务商进一步澄清、说明或补正，直至满足询比小组的要求。</w:t>
      </w:r>
    </w:p>
    <w:p>
      <w:pPr>
        <w:tabs>
          <w:tab w:val="left" w:pos="620"/>
        </w:tabs>
        <w:spacing w:line="360" w:lineRule="auto"/>
        <w:ind w:firstLine="105" w:firstLineChars="50"/>
        <w:rPr>
          <w:rFonts w:ascii="宋体" w:hAnsi="宋体" w:cs="宋体"/>
          <w:b/>
          <w:szCs w:val="21"/>
        </w:rPr>
      </w:pPr>
      <w:r>
        <w:rPr>
          <w:rFonts w:hint="eastAsia" w:ascii="宋体" w:hAnsi="宋体" w:cs="宋体"/>
          <w:b/>
          <w:szCs w:val="21"/>
        </w:rPr>
        <w:t>3.4 评审结果</w:t>
      </w:r>
    </w:p>
    <w:p>
      <w:pPr>
        <w:spacing w:line="360" w:lineRule="auto"/>
        <w:ind w:firstLine="420"/>
        <w:rPr>
          <w:rFonts w:ascii="宋体" w:hAnsi="宋体" w:cs="宋体"/>
          <w:szCs w:val="21"/>
        </w:rPr>
      </w:pPr>
      <w:r>
        <w:rPr>
          <w:rFonts w:hint="eastAsia" w:ascii="宋体" w:hAnsi="宋体" w:cs="宋体"/>
          <w:szCs w:val="21"/>
        </w:rPr>
        <w:t>3.4.1 除第二章“服务商须知前附表”授权直接确定成交服务商外，询比小组按照综合评分由高到低的顺序推荐成交候选人，并标明排序。</w:t>
      </w:r>
    </w:p>
    <w:p>
      <w:pPr>
        <w:spacing w:line="360" w:lineRule="auto"/>
        <w:ind w:firstLine="420"/>
        <w:rPr>
          <w:rFonts w:ascii="宋体" w:hAnsi="宋体"/>
        </w:rPr>
      </w:pPr>
      <w:r>
        <w:rPr>
          <w:rFonts w:hint="eastAsia" w:ascii="宋体" w:hAnsi="宋体" w:cs="宋体"/>
          <w:szCs w:val="21"/>
        </w:rPr>
        <w:t>3.4.2 询比小组完成评审后，应当向采购人提交书面评审报告和成交候选人名单。</w:t>
      </w:r>
    </w:p>
    <w:p>
      <w:pPr>
        <w:spacing w:line="360" w:lineRule="auto"/>
        <w:ind w:firstLine="420"/>
        <w:rPr>
          <w:rFonts w:ascii="宋体" w:hAnsi="宋体"/>
        </w:rPr>
      </w:pPr>
    </w:p>
    <w:bookmarkEnd w:id="535"/>
    <w:p>
      <w:pPr>
        <w:pStyle w:val="4"/>
        <w:rPr>
          <w:rFonts w:ascii="Times New Roman" w:eastAsia="黑体"/>
          <w:sz w:val="28"/>
          <w:szCs w:val="28"/>
        </w:rPr>
      </w:pPr>
      <w:r>
        <w:rPr>
          <w:rFonts w:ascii="Times New Roman" w:eastAsia="黑体"/>
          <w:sz w:val="28"/>
          <w:szCs w:val="28"/>
        </w:rPr>
        <w:br w:type="page"/>
      </w:r>
      <w:bookmarkStart w:id="546" w:name="_Toc32673"/>
      <w:r>
        <w:rPr>
          <w:rFonts w:ascii="Times New Roman" w:eastAsia="黑体"/>
          <w:sz w:val="28"/>
          <w:szCs w:val="28"/>
        </w:rPr>
        <w:t xml:space="preserve">第四章 </w:t>
      </w:r>
      <w:r>
        <w:rPr>
          <w:rFonts w:hint="eastAsia" w:ascii="Times New Roman" w:eastAsia="黑体"/>
          <w:sz w:val="28"/>
          <w:szCs w:val="28"/>
        </w:rPr>
        <w:t>服务商</w:t>
      </w:r>
      <w:r>
        <w:rPr>
          <w:rFonts w:ascii="Times New Roman" w:eastAsia="黑体"/>
          <w:sz w:val="28"/>
          <w:szCs w:val="28"/>
        </w:rPr>
        <w:t>服务要求</w:t>
      </w:r>
      <w:bookmarkEnd w:id="546"/>
    </w:p>
    <w:p>
      <w:pPr>
        <w:spacing w:line="360" w:lineRule="auto"/>
        <w:ind w:firstLine="420" w:firstLineChars="200"/>
        <w:rPr>
          <w:rFonts w:ascii="宋体" w:hAnsi="宋体" w:cs="宋体"/>
        </w:rPr>
      </w:pPr>
      <w:r>
        <w:rPr>
          <w:rFonts w:hint="eastAsia" w:ascii="宋体" w:hAnsi="宋体" w:cs="宋体"/>
        </w:rPr>
        <w:t>1、项目建议书：对拟建项目提出框架性的总体设想，论证</w:t>
      </w:r>
      <w:r>
        <w:rPr>
          <w:rFonts w:hint="eastAsia" w:ascii="宋体" w:hAnsi="宋体" w:cs="宋体"/>
          <w:color w:val="0070C0"/>
        </w:rPr>
        <w:t>项目建设必要性、建设规模、建设方案和环境安全影响分析、劳动安全及工业卫生分析以及投资估算</w:t>
      </w:r>
      <w:r>
        <w:rPr>
          <w:rFonts w:hint="eastAsia" w:ascii="宋体" w:hAnsi="宋体" w:cs="宋体"/>
        </w:rPr>
        <w:t>；</w:t>
      </w:r>
    </w:p>
    <w:p>
      <w:pPr>
        <w:pStyle w:val="29"/>
        <w:rPr>
          <w:rFonts w:ascii="宋体" w:hAnsi="宋体" w:cs="宋体"/>
          <w:color w:val="0070C0"/>
          <w:sz w:val="21"/>
        </w:rPr>
      </w:pPr>
      <w:r>
        <w:rPr>
          <w:rFonts w:hint="eastAsia" w:ascii="宋体" w:hAnsi="宋体" w:cs="宋体"/>
          <w:b w:val="0"/>
          <w:bCs/>
          <w:sz w:val="21"/>
        </w:rPr>
        <w:t>2、项目可行性研究报告：</w:t>
      </w:r>
      <w:r>
        <w:rPr>
          <w:rFonts w:hint="eastAsia" w:ascii="宋体" w:hAnsi="宋体" w:cs="宋体"/>
          <w:b w:val="0"/>
          <w:bCs/>
          <w:color w:val="0070C0"/>
          <w:sz w:val="21"/>
        </w:rPr>
        <w:t>对拟建项目进行全面经济分析的科学论证，分析比较预测建成后的社会经济效益，内容包括：项目概述、编制依据、废物性质及收集对象、建设规模、场址选择、危险废物收集与运输、工艺方案、总图与运输、公用工程及辅助设施、火灾与消防、环境保护、劳动安全与卫生、节能、风险、工程进度计划与招投标初步安排、劳动定员与人员培训及投资估算等。</w:t>
      </w:r>
    </w:p>
    <w:p>
      <w:pPr>
        <w:pStyle w:val="29"/>
        <w:ind w:firstLine="562"/>
      </w:pPr>
    </w:p>
    <w:p>
      <w:pPr>
        <w:pStyle w:val="4"/>
        <w:rPr>
          <w:rFonts w:ascii="Times New Roman"/>
        </w:rPr>
      </w:pPr>
      <w:r>
        <w:rPr>
          <w:rFonts w:ascii="Times New Roman"/>
        </w:rPr>
        <w:br w:type="page"/>
      </w:r>
      <w:bookmarkEnd w:id="536"/>
      <w:bookmarkEnd w:id="537"/>
      <w:bookmarkEnd w:id="538"/>
      <w:bookmarkEnd w:id="539"/>
      <w:bookmarkEnd w:id="540"/>
      <w:bookmarkEnd w:id="541"/>
      <w:bookmarkEnd w:id="542"/>
      <w:bookmarkEnd w:id="543"/>
      <w:bookmarkEnd w:id="544"/>
      <w:bookmarkStart w:id="547" w:name="_Toc22939"/>
      <w:bookmarkStart w:id="548" w:name="_Toc497844221"/>
      <w:r>
        <w:rPr>
          <w:rFonts w:ascii="Times New Roman" w:eastAsia="黑体"/>
          <w:sz w:val="28"/>
          <w:szCs w:val="28"/>
        </w:rPr>
        <w:t>第五章 合同条款与格式</w:t>
      </w:r>
      <w:bookmarkEnd w:id="547"/>
    </w:p>
    <w:bookmarkEnd w:id="47"/>
    <w:bookmarkEnd w:id="48"/>
    <w:bookmarkEnd w:id="49"/>
    <w:bookmarkEnd w:id="50"/>
    <w:bookmarkEnd w:id="51"/>
    <w:bookmarkEnd w:id="52"/>
    <w:bookmarkEnd w:id="53"/>
    <w:bookmarkEnd w:id="54"/>
    <w:bookmarkEnd w:id="55"/>
    <w:bookmarkEnd w:id="548"/>
    <w:p>
      <w:pPr>
        <w:jc w:val="center"/>
        <w:rPr>
          <w:rFonts w:hint="eastAsia" w:ascii="宋体" w:hAnsi="宋体" w:cs="宋体"/>
          <w:b/>
          <w:color w:val="FF0000"/>
        </w:rPr>
      </w:pPr>
      <w:bookmarkStart w:id="549" w:name="_Toc251933436"/>
      <w:bookmarkEnd w:id="549"/>
      <w:bookmarkStart w:id="550" w:name="_Toc26559"/>
      <w:bookmarkEnd w:id="550"/>
      <w:bookmarkStart w:id="551" w:name="_Toc9112"/>
      <w:bookmarkEnd w:id="551"/>
      <w:bookmarkStart w:id="552" w:name="_Toc7694"/>
      <w:bookmarkStart w:id="553" w:name="_Toc20953"/>
      <w:r>
        <w:rPr>
          <w:rFonts w:hint="eastAsia" w:ascii="宋体" w:hAnsi="宋体" w:cs="宋体"/>
          <w:b/>
          <w:color w:val="FF0000"/>
        </w:rPr>
        <w:t xml:space="preserve"> 中小微企业和社会源危险废物集中收集贮存试点单位设施甲类库</w:t>
      </w:r>
    </w:p>
    <w:p>
      <w:pPr>
        <w:jc w:val="center"/>
        <w:rPr>
          <w:rFonts w:cs="仿宋" w:asciiTheme="minorEastAsia" w:hAnsiTheme="minorEastAsia" w:eastAsiaTheme="minorEastAsia"/>
          <w:b/>
          <w:bCs/>
          <w:sz w:val="24"/>
          <w:szCs w:val="24"/>
        </w:rPr>
      </w:pPr>
      <w:r>
        <w:rPr>
          <w:rFonts w:hint="eastAsia" w:ascii="宋体" w:hAnsi="宋体" w:cs="宋体"/>
          <w:b/>
          <w:color w:val="FF0000"/>
        </w:rPr>
        <w:t>建设项目建议书、可研报告咨询服务采购服务合同书</w:t>
      </w:r>
    </w:p>
    <w:p>
      <w:pPr>
        <w:spacing w:line="480" w:lineRule="exact"/>
        <w:ind w:firstLine="420" w:firstLineChars="200"/>
        <w:rPr>
          <w:rFonts w:ascii="宋体" w:hAnsi="宋体" w:cs="宋体"/>
        </w:rPr>
      </w:pPr>
      <w:r>
        <w:rPr>
          <w:rFonts w:hint="eastAsia" w:ascii="宋体" w:hAnsi="宋体" w:cs="宋体"/>
        </w:rPr>
        <w:t>委托方：（以下简称甲方）</w:t>
      </w:r>
    </w:p>
    <w:p>
      <w:pPr>
        <w:spacing w:line="480" w:lineRule="exact"/>
        <w:ind w:firstLine="420" w:firstLineChars="200"/>
        <w:rPr>
          <w:rFonts w:ascii="宋体" w:hAnsi="宋体" w:cs="宋体"/>
        </w:rPr>
      </w:pPr>
      <w:r>
        <w:rPr>
          <w:rFonts w:hint="eastAsia" w:ascii="宋体" w:hAnsi="宋体" w:cs="宋体"/>
        </w:rPr>
        <w:t>服务方：（以下简称乙方）</w:t>
      </w:r>
    </w:p>
    <w:p>
      <w:pPr>
        <w:spacing w:line="480" w:lineRule="exact"/>
        <w:ind w:firstLine="415" w:firstLineChars="198"/>
        <w:rPr>
          <w:rFonts w:ascii="宋体" w:hAnsi="宋体" w:cs="宋体"/>
        </w:rPr>
      </w:pPr>
      <w:r>
        <w:rPr>
          <w:rFonts w:hint="eastAsia" w:ascii="宋体" w:hAnsi="宋体" w:cs="宋体"/>
        </w:rPr>
        <w:t>甲方与乙方就</w:t>
      </w:r>
      <w:r>
        <w:rPr>
          <w:rFonts w:hint="eastAsia" w:ascii="宋体" w:hAnsi="宋体" w:cs="宋体"/>
          <w:u w:val="single"/>
        </w:rPr>
        <w:t xml:space="preserve">                     </w:t>
      </w:r>
      <w:r>
        <w:rPr>
          <w:rFonts w:hint="eastAsia" w:ascii="宋体" w:hAnsi="宋体" w:cs="宋体"/>
        </w:rPr>
        <w:t>的服务事宜，经协商一致，签订本合同。</w:t>
      </w:r>
    </w:p>
    <w:p>
      <w:pPr>
        <w:widowControl/>
        <w:numPr>
          <w:ilvl w:val="0"/>
          <w:numId w:val="1"/>
        </w:numPr>
        <w:spacing w:line="480" w:lineRule="exact"/>
        <w:rPr>
          <w:rFonts w:eastAsia="仿宋_GB2312" w:cs="仿宋"/>
          <w:b/>
          <w:bCs/>
          <w:sz w:val="28"/>
          <w:szCs w:val="28"/>
        </w:rPr>
      </w:pPr>
      <w:r>
        <w:rPr>
          <w:rFonts w:hint="eastAsia" w:cs="仿宋" w:asciiTheme="minorEastAsia" w:hAnsiTheme="minorEastAsia" w:eastAsiaTheme="minorEastAsia"/>
          <w:b/>
          <w:bCs/>
          <w:sz w:val="24"/>
          <w:szCs w:val="24"/>
        </w:rPr>
        <w:t>服务内容</w:t>
      </w:r>
      <w:r>
        <w:rPr>
          <w:rFonts w:hint="eastAsia" w:hAnsi="仿宋" w:eastAsia="仿宋_GB2312" w:cs="仿宋"/>
          <w:b/>
          <w:bCs/>
          <w:sz w:val="28"/>
          <w:szCs w:val="28"/>
        </w:rPr>
        <w:t>：</w:t>
      </w:r>
    </w:p>
    <w:p>
      <w:pPr>
        <w:spacing w:line="480" w:lineRule="exact"/>
        <w:ind w:firstLine="420" w:firstLineChars="200"/>
        <w:rPr>
          <w:rFonts w:ascii="宋体" w:hAnsi="宋体" w:cs="宋体"/>
        </w:rPr>
      </w:pPr>
      <w:r>
        <w:rPr>
          <w:rFonts w:hint="eastAsia" w:ascii="宋体" w:hAnsi="宋体" w:cs="宋体"/>
        </w:rPr>
        <w:t>甲方委托乙方按照相关最新规定开展</w:t>
      </w:r>
      <w:r>
        <w:rPr>
          <w:rFonts w:hint="eastAsia" w:ascii="宋体" w:hAnsi="宋体" w:cs="宋体"/>
          <w:u w:val="single"/>
        </w:rPr>
        <w:t xml:space="preserve">                         </w:t>
      </w:r>
      <w:r>
        <w:rPr>
          <w:rFonts w:hint="eastAsia" w:ascii="宋体" w:hAnsi="宋体" w:cs="宋体"/>
        </w:rPr>
        <w:t>的工作。</w:t>
      </w:r>
    </w:p>
    <w:p>
      <w:pPr>
        <w:widowControl/>
        <w:numPr>
          <w:ilvl w:val="0"/>
          <w:numId w:val="1"/>
        </w:numPr>
        <w:spacing w:line="480" w:lineRule="exact"/>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实施进度及完成期限：</w:t>
      </w:r>
    </w:p>
    <w:p>
      <w:pPr>
        <w:spacing w:line="480" w:lineRule="exact"/>
        <w:ind w:firstLine="420" w:firstLineChars="200"/>
        <w:rPr>
          <w:rFonts w:ascii="宋体" w:hAnsi="宋体" w:cs="宋体"/>
          <w:highlight w:val="yellow"/>
        </w:rPr>
      </w:pPr>
      <w:r>
        <w:rPr>
          <w:rFonts w:hint="eastAsia" w:ascii="宋体" w:hAnsi="宋体" w:cs="宋体"/>
          <w:highlight w:val="yellow"/>
        </w:rPr>
        <w:t>合同签订后30日提交成果报告</w:t>
      </w:r>
    </w:p>
    <w:p>
      <w:pPr>
        <w:widowControl/>
        <w:numPr>
          <w:ilvl w:val="0"/>
          <w:numId w:val="1"/>
        </w:numPr>
        <w:spacing w:line="480" w:lineRule="exact"/>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甲方具体职责:</w:t>
      </w:r>
    </w:p>
    <w:p>
      <w:pPr>
        <w:spacing w:line="480" w:lineRule="exact"/>
        <w:ind w:firstLine="411" w:firstLineChars="196"/>
        <w:rPr>
          <w:rFonts w:ascii="宋体" w:hAnsi="宋体" w:cs="宋体"/>
        </w:rPr>
      </w:pPr>
      <w:r>
        <w:rPr>
          <w:rFonts w:hint="eastAsia" w:ascii="宋体" w:hAnsi="宋体" w:cs="宋体"/>
        </w:rPr>
        <w:t>1、及时向乙方提供填报所需的基础资料；</w:t>
      </w:r>
    </w:p>
    <w:p>
      <w:pPr>
        <w:spacing w:line="480" w:lineRule="exact"/>
        <w:ind w:firstLine="420" w:firstLineChars="200"/>
        <w:rPr>
          <w:rFonts w:ascii="宋体" w:hAnsi="宋体" w:cs="宋体"/>
        </w:rPr>
      </w:pPr>
      <w:r>
        <w:rPr>
          <w:rFonts w:hint="eastAsia" w:ascii="宋体" w:hAnsi="宋体" w:cs="宋体"/>
        </w:rPr>
        <w:t>2、甲方所提供资料、数据、文件等资料的有效性和真实性负责；</w:t>
      </w:r>
    </w:p>
    <w:p>
      <w:pPr>
        <w:widowControl/>
        <w:numPr>
          <w:ilvl w:val="0"/>
          <w:numId w:val="1"/>
        </w:numPr>
        <w:spacing w:line="480" w:lineRule="exact"/>
        <w:rPr>
          <w:rFonts w:eastAsia="仿宋_GB2312" w:cs="仿宋"/>
          <w:b/>
          <w:bCs/>
          <w:sz w:val="28"/>
          <w:szCs w:val="28"/>
        </w:rPr>
      </w:pPr>
      <w:r>
        <w:rPr>
          <w:rFonts w:hint="eastAsia" w:cs="仿宋" w:asciiTheme="minorEastAsia" w:hAnsiTheme="minorEastAsia" w:eastAsiaTheme="minorEastAsia"/>
          <w:b/>
          <w:bCs/>
          <w:sz w:val="24"/>
          <w:szCs w:val="24"/>
        </w:rPr>
        <w:t xml:space="preserve">乙方具体职责: </w:t>
      </w:r>
    </w:p>
    <w:p>
      <w:pPr>
        <w:spacing w:line="360" w:lineRule="auto"/>
        <w:ind w:left="420"/>
        <w:rPr>
          <w:rFonts w:hint="eastAsia" w:ascii="宋体" w:hAnsi="宋体" w:cs="宋体"/>
        </w:rPr>
      </w:pPr>
      <w:r>
        <w:rPr>
          <w:rFonts w:hint="eastAsia" w:ascii="宋体" w:hAnsi="宋体" w:cs="宋体"/>
        </w:rPr>
        <w:t>对拟建项目提出框架性的总体设想，论证项目建设必要性、建设规模、建设方案和环境安全影</w:t>
      </w:r>
    </w:p>
    <w:p>
      <w:pPr>
        <w:spacing w:line="360" w:lineRule="auto"/>
        <w:rPr>
          <w:rFonts w:ascii="宋体" w:hAnsi="宋体" w:cs="宋体"/>
        </w:rPr>
      </w:pPr>
      <w:r>
        <w:rPr>
          <w:rFonts w:hint="eastAsia" w:ascii="宋体" w:hAnsi="宋体" w:cs="宋体"/>
        </w:rPr>
        <w:t>响分析、劳动安全及工业卫生分析以及投资估算；对拟建项目进行全面经济分析的科学论证，分析比较预测建成后的社会经济效益，内容包括：项目概述、编制依据、废物性质及收集对象、建设规模、场址选择、危险废物收集与运输、工艺方案、总图与运输、公用工程及辅助设施、火灾与消防、环境保护、劳动安全与卫生、节能、风险、工程进度计划与招投标初步安排、劳动定员与人员培训及投资估算等。</w:t>
      </w:r>
    </w:p>
    <w:p>
      <w:pPr>
        <w:widowControl/>
        <w:numPr>
          <w:ilvl w:val="0"/>
          <w:numId w:val="1"/>
        </w:numPr>
        <w:spacing w:line="480" w:lineRule="exact"/>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经费和支付方式：</w:t>
      </w:r>
    </w:p>
    <w:p>
      <w:pPr>
        <w:spacing w:line="480" w:lineRule="exact"/>
        <w:ind w:firstLine="411" w:firstLineChars="196"/>
        <w:rPr>
          <w:rFonts w:ascii="宋体" w:hAnsi="宋体" w:cs="宋体"/>
          <w:highlight w:val="yellow"/>
        </w:rPr>
      </w:pPr>
      <w:r>
        <w:rPr>
          <w:rFonts w:hint="eastAsia" w:ascii="宋体" w:hAnsi="宋体" w:cs="宋体"/>
        </w:rPr>
        <w:t>1、费用：本服务为合同价人民币￥   元大写：   元整，（包括但不限于</w:t>
      </w:r>
      <w:r>
        <w:rPr>
          <w:rFonts w:hint="eastAsia" w:ascii="宋体" w:hAnsi="宋体" w:cs="宋体"/>
          <w:szCs w:val="21"/>
        </w:rPr>
        <w:t>所需报告设计编制、编辑、校对、印刷、项目通过、劳务、管理、利润、税金、合同条款规定的保险、政策性文件规定及合同包含的所有风险、责任以及服务商认为应计取的各项费用（指本询比文件所涵盖的所有内容，符合询比文件各项规定，其价格均包括在总报价中。</w:t>
      </w:r>
    </w:p>
    <w:p>
      <w:pPr>
        <w:spacing w:line="480" w:lineRule="exact"/>
        <w:ind w:firstLine="411" w:firstLineChars="196"/>
        <w:rPr>
          <w:rFonts w:ascii="宋体" w:hAnsi="宋体" w:cs="宋体"/>
        </w:rPr>
      </w:pPr>
      <w:r>
        <w:rPr>
          <w:rFonts w:hint="eastAsia" w:ascii="宋体" w:hAnsi="宋体" w:cs="宋体"/>
        </w:rPr>
        <w:t>2、支付方式：经甲乙双方协商，合同签订后即日乙方开展该项目工作，乙方按合同提交成果报告，乙方提供等额增值税  专用发票，甲方在15个工作日内一次性支付服务费  元（大写：    整）。</w:t>
      </w:r>
    </w:p>
    <w:p>
      <w:pPr>
        <w:widowControl/>
        <w:numPr>
          <w:ilvl w:val="0"/>
          <w:numId w:val="1"/>
        </w:numPr>
        <w:spacing w:line="480" w:lineRule="exact"/>
        <w:rPr>
          <w:rFonts w:ascii="宋体" w:hAnsi="宋体" w:cs="宋体"/>
        </w:rPr>
      </w:pPr>
      <w:r>
        <w:rPr>
          <w:rFonts w:hint="eastAsia" w:cs="仿宋" w:asciiTheme="minorEastAsia" w:hAnsiTheme="minorEastAsia" w:eastAsiaTheme="minorEastAsia"/>
          <w:b/>
          <w:bCs/>
          <w:sz w:val="24"/>
          <w:szCs w:val="24"/>
        </w:rPr>
        <w:t>违约责任：</w:t>
      </w:r>
    </w:p>
    <w:p>
      <w:pPr>
        <w:widowControl/>
        <w:spacing w:line="480" w:lineRule="exact"/>
        <w:ind w:firstLine="420" w:firstLineChars="200"/>
        <w:rPr>
          <w:rFonts w:ascii="宋体" w:hAnsi="宋体" w:cs="宋体"/>
        </w:rPr>
      </w:pPr>
      <w:r>
        <w:rPr>
          <w:rFonts w:hint="eastAsia" w:ascii="宋体" w:hAnsi="宋体" w:cs="宋体"/>
        </w:rPr>
        <w:t>甲、乙双方违反上述合同条款规定视为违约，造成损失的，应承担相应责任，甲、乙双方协商解决或按司法程序解决，协商不成，可向甲方所在地人民法院提起诉讼。</w:t>
      </w:r>
    </w:p>
    <w:p>
      <w:pPr>
        <w:widowControl/>
        <w:numPr>
          <w:ilvl w:val="0"/>
          <w:numId w:val="1"/>
        </w:numPr>
        <w:spacing w:line="480" w:lineRule="exact"/>
        <w:rPr>
          <w:rFonts w:eastAsia="仿宋_GB2312" w:cs="仿宋"/>
          <w:sz w:val="28"/>
          <w:szCs w:val="28"/>
        </w:rPr>
      </w:pPr>
      <w:r>
        <w:rPr>
          <w:rFonts w:hint="eastAsia" w:cs="仿宋" w:asciiTheme="minorEastAsia" w:hAnsiTheme="minorEastAsia" w:eastAsiaTheme="minorEastAsia"/>
          <w:b/>
          <w:bCs/>
          <w:sz w:val="24"/>
          <w:szCs w:val="24"/>
        </w:rPr>
        <w:t>合同履行期限及方式：</w:t>
      </w:r>
    </w:p>
    <w:p>
      <w:pPr>
        <w:widowControl/>
        <w:spacing w:line="480" w:lineRule="exact"/>
        <w:ind w:firstLine="420" w:firstLineChars="200"/>
        <w:rPr>
          <w:rFonts w:eastAsia="仿宋_GB2312" w:cs="仿宋"/>
          <w:sz w:val="28"/>
          <w:szCs w:val="28"/>
        </w:rPr>
      </w:pPr>
      <w:r>
        <w:rPr>
          <w:rFonts w:hint="eastAsia" w:ascii="宋体" w:hAnsi="宋体" w:cs="宋体"/>
        </w:rPr>
        <w:t>本合同在取得成果报告后，甲方完成付款后终止。</w:t>
      </w:r>
    </w:p>
    <w:p>
      <w:pPr>
        <w:widowControl/>
        <w:spacing w:line="480" w:lineRule="exact"/>
        <w:ind w:firstLine="420" w:firstLineChars="200"/>
        <w:rPr>
          <w:rFonts w:ascii="宋体" w:hAnsi="宋体" w:cs="宋体"/>
        </w:rPr>
      </w:pPr>
      <w:r>
        <w:rPr>
          <w:rFonts w:hint="eastAsia" w:ascii="宋体" w:hAnsi="宋体" w:cs="宋体"/>
        </w:rPr>
        <w:t>合同的附件，与项目合同具有同等法律效力。</w:t>
      </w:r>
    </w:p>
    <w:p>
      <w:pPr>
        <w:widowControl/>
        <w:numPr>
          <w:ilvl w:val="0"/>
          <w:numId w:val="1"/>
        </w:numPr>
        <w:spacing w:line="480" w:lineRule="exact"/>
        <w:rPr>
          <w:rFonts w:ascii="宋体" w:hAnsi="宋体" w:cs="宋体"/>
        </w:rPr>
      </w:pPr>
      <w:r>
        <w:rPr>
          <w:rFonts w:hint="eastAsia" w:ascii="宋体" w:hAnsi="宋体" w:cs="宋体"/>
        </w:rPr>
        <w:t>合同经甲、乙双方签字盖章后生效；本合同一式肆份，具有同等效力，甲方执叁份，乙方执壹份。</w:t>
      </w:r>
    </w:p>
    <w:p>
      <w:pPr>
        <w:spacing w:line="480" w:lineRule="exact"/>
        <w:rPr>
          <w:rFonts w:ascii="宋体" w:hAnsi="宋体" w:cs="宋体"/>
        </w:rPr>
      </w:pPr>
      <w:r>
        <w:rPr>
          <w:rFonts w:hint="eastAsia" w:cs="仿宋" w:asciiTheme="minorEastAsia" w:hAnsiTheme="minorEastAsia" w:eastAsiaTheme="minorEastAsia"/>
          <w:b/>
          <w:bCs/>
          <w:sz w:val="24"/>
          <w:szCs w:val="24"/>
        </w:rPr>
        <w:t>注：</w:t>
      </w:r>
      <w:r>
        <w:rPr>
          <w:rFonts w:hint="eastAsia" w:ascii="宋体" w:hAnsi="宋体" w:cs="宋体"/>
        </w:rPr>
        <w:t>甲、乙双方仔细阅读后填写下面所列表格，签订本合同。</w:t>
      </w:r>
    </w:p>
    <w:tbl>
      <w:tblPr>
        <w:tblStyle w:val="30"/>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9"/>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279" w:type="dxa"/>
            <w:vAlign w:val="center"/>
          </w:tcPr>
          <w:p>
            <w:pPr>
              <w:snapToGrid w:val="0"/>
              <w:spacing w:line="200" w:lineRule="atLeast"/>
              <w:jc w:val="center"/>
              <w:rPr>
                <w:rFonts w:ascii="宋体" w:hAnsi="宋体" w:cs="宋体"/>
              </w:rPr>
            </w:pPr>
            <w:r>
              <w:rPr>
                <w:rFonts w:hint="eastAsia" w:ascii="宋体" w:hAnsi="宋体" w:cs="宋体"/>
              </w:rPr>
              <w:t>甲方（盖章）</w:t>
            </w:r>
          </w:p>
        </w:tc>
        <w:tc>
          <w:tcPr>
            <w:tcW w:w="4219" w:type="dxa"/>
            <w:vAlign w:val="center"/>
          </w:tcPr>
          <w:p>
            <w:pPr>
              <w:snapToGrid w:val="0"/>
              <w:spacing w:line="200" w:lineRule="atLeast"/>
              <w:jc w:val="center"/>
              <w:rPr>
                <w:rFonts w:ascii="宋体" w:hAnsi="宋体" w:cs="宋体"/>
              </w:rPr>
            </w:pPr>
            <w:r>
              <w:rPr>
                <w:rFonts w:hint="eastAsia" w:ascii="宋体" w:hAnsi="宋体" w:cs="宋体"/>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279" w:type="dxa"/>
            <w:vAlign w:val="center"/>
          </w:tcPr>
          <w:p>
            <w:pPr>
              <w:snapToGrid w:val="0"/>
              <w:spacing w:line="200" w:lineRule="atLeast"/>
              <w:rPr>
                <w:rFonts w:ascii="宋体" w:hAnsi="宋体" w:cs="宋体"/>
              </w:rPr>
            </w:pPr>
            <w:r>
              <w:rPr>
                <w:rFonts w:hint="eastAsia" w:ascii="宋体" w:hAnsi="宋体" w:cs="宋体"/>
              </w:rPr>
              <w:t xml:space="preserve">单位名称： </w:t>
            </w:r>
          </w:p>
        </w:tc>
        <w:tc>
          <w:tcPr>
            <w:tcW w:w="4219" w:type="dxa"/>
            <w:vAlign w:val="center"/>
          </w:tcPr>
          <w:p>
            <w:pPr>
              <w:snapToGrid w:val="0"/>
              <w:spacing w:line="200" w:lineRule="atLeast"/>
              <w:rPr>
                <w:rFonts w:ascii="宋体" w:hAnsi="宋体" w:cs="宋体"/>
              </w:rPr>
            </w:pPr>
            <w:r>
              <w:rPr>
                <w:rFonts w:hint="eastAsia" w:ascii="宋体" w:hAnsi="宋体" w:cs="宋体"/>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279" w:type="dxa"/>
            <w:vAlign w:val="center"/>
          </w:tcPr>
          <w:p>
            <w:pPr>
              <w:snapToGrid w:val="0"/>
              <w:spacing w:line="200" w:lineRule="atLeast"/>
              <w:rPr>
                <w:rFonts w:ascii="宋体" w:hAnsi="宋体" w:cs="宋体"/>
              </w:rPr>
            </w:pPr>
            <w:r>
              <w:rPr>
                <w:rFonts w:hint="eastAsia" w:ascii="宋体" w:hAnsi="宋体" w:cs="宋体"/>
              </w:rPr>
              <w:t>法定代表人：</w:t>
            </w:r>
          </w:p>
          <w:p>
            <w:pPr>
              <w:snapToGrid w:val="0"/>
              <w:spacing w:line="200" w:lineRule="atLeast"/>
              <w:rPr>
                <w:rFonts w:ascii="宋体" w:hAnsi="宋体" w:cs="宋体"/>
              </w:rPr>
            </w:pPr>
            <w:r>
              <w:rPr>
                <w:rFonts w:hint="eastAsia" w:ascii="宋体" w:hAnsi="宋体" w:cs="宋体"/>
              </w:rPr>
              <w:t xml:space="preserve">(代理人) </w:t>
            </w:r>
          </w:p>
        </w:tc>
        <w:tc>
          <w:tcPr>
            <w:tcW w:w="4219" w:type="dxa"/>
            <w:vAlign w:val="center"/>
          </w:tcPr>
          <w:p>
            <w:pPr>
              <w:snapToGrid w:val="0"/>
              <w:spacing w:line="200" w:lineRule="atLeast"/>
              <w:rPr>
                <w:rFonts w:ascii="宋体" w:hAnsi="宋体" w:cs="宋体"/>
              </w:rPr>
            </w:pPr>
            <w:r>
              <w:rPr>
                <w:rFonts w:hint="eastAsia" w:ascii="宋体" w:hAnsi="宋体" w:cs="宋体"/>
              </w:rPr>
              <w:t>法定代表人：</w:t>
            </w:r>
          </w:p>
          <w:p>
            <w:pPr>
              <w:snapToGrid w:val="0"/>
              <w:spacing w:line="200" w:lineRule="atLeast"/>
              <w:rPr>
                <w:rFonts w:ascii="宋体" w:hAnsi="宋体" w:cs="宋体"/>
              </w:rPr>
            </w:pPr>
            <w:r>
              <w:rPr>
                <w:rFonts w:hint="eastAsia" w:ascii="宋体" w:hAnsi="宋体" w:cs="宋体"/>
              </w:rPr>
              <w:t xml:space="preserve">(代理人)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279" w:type="dxa"/>
            <w:vAlign w:val="center"/>
          </w:tcPr>
          <w:p>
            <w:pPr>
              <w:snapToGrid w:val="0"/>
              <w:spacing w:line="200" w:lineRule="atLeast"/>
              <w:rPr>
                <w:rFonts w:ascii="宋体" w:hAnsi="宋体" w:cs="宋体"/>
              </w:rPr>
            </w:pPr>
            <w:r>
              <w:rPr>
                <w:rFonts w:hint="eastAsia" w:ascii="宋体" w:hAnsi="宋体" w:cs="宋体"/>
              </w:rPr>
              <w:t xml:space="preserve">项目负责人： </w:t>
            </w:r>
          </w:p>
        </w:tc>
        <w:tc>
          <w:tcPr>
            <w:tcW w:w="4219" w:type="dxa"/>
            <w:vAlign w:val="center"/>
          </w:tcPr>
          <w:p>
            <w:pPr>
              <w:snapToGrid w:val="0"/>
              <w:spacing w:line="200" w:lineRule="atLeast"/>
              <w:rPr>
                <w:rFonts w:ascii="宋体" w:hAnsi="宋体" w:cs="宋体"/>
              </w:rPr>
            </w:pPr>
            <w:r>
              <w:rPr>
                <w:rFonts w:hint="eastAsia" w:ascii="宋体" w:hAnsi="宋体" w:cs="宋体"/>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279" w:type="dxa"/>
            <w:vAlign w:val="center"/>
          </w:tcPr>
          <w:p>
            <w:pPr>
              <w:snapToGrid w:val="0"/>
              <w:spacing w:line="200" w:lineRule="atLeast"/>
              <w:rPr>
                <w:rFonts w:ascii="宋体" w:hAnsi="宋体" w:cs="宋体"/>
              </w:rPr>
            </w:pPr>
            <w:r>
              <w:rPr>
                <w:rFonts w:hint="eastAsia" w:ascii="宋体" w:hAnsi="宋体" w:cs="宋体"/>
              </w:rPr>
              <w:t xml:space="preserve">联系人： </w:t>
            </w:r>
          </w:p>
        </w:tc>
        <w:tc>
          <w:tcPr>
            <w:tcW w:w="4219" w:type="dxa"/>
            <w:vAlign w:val="center"/>
          </w:tcPr>
          <w:p>
            <w:pPr>
              <w:snapToGrid w:val="0"/>
              <w:spacing w:line="200" w:lineRule="atLeast"/>
              <w:rPr>
                <w:rFonts w:ascii="宋体" w:hAnsi="宋体" w:cs="宋体"/>
              </w:rPr>
            </w:pPr>
            <w:r>
              <w:rPr>
                <w:rFonts w:hint="eastAsia" w:ascii="宋体" w:hAnsi="宋体" w:cs="宋体"/>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79" w:type="dxa"/>
            <w:vAlign w:val="center"/>
          </w:tcPr>
          <w:p>
            <w:pPr>
              <w:snapToGrid w:val="0"/>
              <w:spacing w:line="200" w:lineRule="atLeast"/>
              <w:rPr>
                <w:rFonts w:ascii="宋体" w:hAnsi="宋体" w:cs="宋体"/>
              </w:rPr>
            </w:pPr>
            <w:r>
              <w:rPr>
                <w:rFonts w:hint="eastAsia" w:ascii="宋体" w:hAnsi="宋体" w:cs="宋体"/>
              </w:rPr>
              <w:t>电    话：</w:t>
            </w:r>
          </w:p>
        </w:tc>
        <w:tc>
          <w:tcPr>
            <w:tcW w:w="4219" w:type="dxa"/>
            <w:vAlign w:val="center"/>
          </w:tcPr>
          <w:p>
            <w:pPr>
              <w:snapToGrid w:val="0"/>
              <w:spacing w:line="200" w:lineRule="atLeast"/>
              <w:rPr>
                <w:rFonts w:ascii="宋体" w:hAnsi="宋体" w:cs="宋体"/>
              </w:rPr>
            </w:pPr>
            <w:r>
              <w:rPr>
                <w:rFonts w:hint="eastAsia" w:ascii="宋体" w:hAnsi="宋体" w:cs="宋体"/>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279" w:type="dxa"/>
            <w:vAlign w:val="center"/>
          </w:tcPr>
          <w:p>
            <w:pPr>
              <w:snapToGrid w:val="0"/>
              <w:spacing w:line="200" w:lineRule="atLeast"/>
              <w:rPr>
                <w:rFonts w:ascii="宋体" w:hAnsi="宋体" w:cs="宋体"/>
              </w:rPr>
            </w:pPr>
            <w:r>
              <w:rPr>
                <w:rFonts w:hint="eastAsia" w:ascii="宋体" w:hAnsi="宋体" w:cs="宋体"/>
              </w:rPr>
              <w:t xml:space="preserve">开户银行： </w:t>
            </w:r>
          </w:p>
        </w:tc>
        <w:tc>
          <w:tcPr>
            <w:tcW w:w="4219" w:type="dxa"/>
            <w:vAlign w:val="center"/>
          </w:tcPr>
          <w:p>
            <w:pPr>
              <w:snapToGrid w:val="0"/>
              <w:spacing w:line="200" w:lineRule="atLeast"/>
              <w:rPr>
                <w:rFonts w:ascii="宋体" w:hAnsi="宋体" w:cs="宋体"/>
              </w:rPr>
            </w:pPr>
            <w:r>
              <w:rPr>
                <w:rFonts w:hint="eastAsia" w:ascii="宋体" w:hAnsi="宋体" w:cs="宋体"/>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79" w:type="dxa"/>
            <w:vAlign w:val="center"/>
          </w:tcPr>
          <w:p>
            <w:pPr>
              <w:snapToGrid w:val="0"/>
              <w:spacing w:line="200" w:lineRule="atLeast"/>
              <w:rPr>
                <w:rFonts w:ascii="宋体" w:hAnsi="宋体" w:cs="宋体"/>
              </w:rPr>
            </w:pPr>
            <w:r>
              <w:rPr>
                <w:rFonts w:hint="eastAsia" w:ascii="宋体" w:hAnsi="宋体" w:cs="宋体"/>
              </w:rPr>
              <w:t>银行帐号：</w:t>
            </w:r>
          </w:p>
        </w:tc>
        <w:tc>
          <w:tcPr>
            <w:tcW w:w="4219" w:type="dxa"/>
            <w:vAlign w:val="center"/>
          </w:tcPr>
          <w:p>
            <w:pPr>
              <w:rPr>
                <w:rFonts w:ascii="宋体" w:hAnsi="宋体" w:cs="宋体"/>
              </w:rPr>
            </w:pPr>
            <w:r>
              <w:rPr>
                <w:rFonts w:hint="eastAsia" w:ascii="宋体" w:hAnsi="宋体" w:cs="宋体"/>
              </w:rPr>
              <w:t xml:space="preserve">银行帐号：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279" w:type="dxa"/>
            <w:vAlign w:val="center"/>
          </w:tcPr>
          <w:p>
            <w:pPr>
              <w:rPr>
                <w:rFonts w:ascii="宋体" w:hAnsi="宋体" w:cs="宋体"/>
              </w:rPr>
            </w:pPr>
            <w:r>
              <w:rPr>
                <w:rFonts w:hint="eastAsia" w:ascii="宋体" w:hAnsi="宋体" w:cs="宋体"/>
              </w:rPr>
              <w:t xml:space="preserve">地  址： </w:t>
            </w:r>
          </w:p>
        </w:tc>
        <w:tc>
          <w:tcPr>
            <w:tcW w:w="4219" w:type="dxa"/>
            <w:vAlign w:val="center"/>
          </w:tcPr>
          <w:p>
            <w:pPr>
              <w:snapToGrid w:val="0"/>
              <w:spacing w:line="200" w:lineRule="atLeast"/>
              <w:rPr>
                <w:rFonts w:ascii="宋体" w:hAnsi="宋体" w:cs="宋体"/>
              </w:rPr>
            </w:pPr>
            <w:r>
              <w:rPr>
                <w:rFonts w:hint="eastAsia" w:ascii="宋体" w:hAnsi="宋体" w:cs="宋体"/>
              </w:rPr>
              <w:t>地  址：</w:t>
            </w:r>
          </w:p>
        </w:tc>
      </w:tr>
    </w:tbl>
    <w:p>
      <w:pPr>
        <w:rPr>
          <w:rFonts w:eastAsia="仿宋_GB2312" w:cs="宋体"/>
          <w:sz w:val="2"/>
          <w:szCs w:val="2"/>
        </w:rPr>
      </w:pPr>
    </w:p>
    <w:p>
      <w:pPr>
        <w:spacing w:line="560" w:lineRule="exact"/>
        <w:rPr>
          <w:b/>
          <w:bCs/>
          <w:sz w:val="32"/>
          <w:szCs w:val="32"/>
        </w:rPr>
      </w:pPr>
    </w:p>
    <w:p>
      <w:pPr>
        <w:spacing w:line="560" w:lineRule="exact"/>
        <w:rPr>
          <w:b/>
          <w:bCs/>
          <w:sz w:val="32"/>
          <w:szCs w:val="32"/>
        </w:rPr>
      </w:pPr>
    </w:p>
    <w:p>
      <w:pPr>
        <w:spacing w:line="560" w:lineRule="exact"/>
        <w:rPr>
          <w:rFonts w:ascii="宋体" w:hAnsi="宋体" w:cs="宋体"/>
          <w:sz w:val="24"/>
        </w:rPr>
      </w:pPr>
      <w:r>
        <w:rPr>
          <w:rFonts w:hint="eastAsia"/>
          <w:bCs/>
          <w:sz w:val="32"/>
          <w:szCs w:val="32"/>
        </w:rPr>
        <w:t>附件1</w:t>
      </w:r>
    </w:p>
    <w:p>
      <w:pPr>
        <w:spacing w:line="560" w:lineRule="exact"/>
        <w:jc w:val="center"/>
        <w:rPr>
          <w:b/>
          <w:bCs/>
          <w:sz w:val="32"/>
          <w:szCs w:val="32"/>
        </w:rPr>
      </w:pPr>
      <w:r>
        <w:rPr>
          <w:rFonts w:hint="eastAsia"/>
          <w:b/>
          <w:bCs/>
          <w:sz w:val="32"/>
          <w:szCs w:val="32"/>
        </w:rPr>
        <w:t>廉政协议书</w:t>
      </w:r>
    </w:p>
    <w:p>
      <w:pPr>
        <w:spacing w:line="560" w:lineRule="exact"/>
        <w:ind w:firstLine="424" w:firstLineChars="177"/>
        <w:rPr>
          <w:rFonts w:ascii="宋体" w:hAnsi="宋体" w:cs="宋体"/>
          <w:sz w:val="24"/>
          <w:szCs w:val="24"/>
        </w:rPr>
      </w:pPr>
      <w:r>
        <w:rPr>
          <w:rFonts w:hint="eastAsia" w:ascii="宋体" w:hAnsi="宋体" w:cs="宋体"/>
          <w:sz w:val="24"/>
          <w:szCs w:val="24"/>
        </w:rPr>
        <w:t>甲方（委托人）：</w:t>
      </w:r>
    </w:p>
    <w:p>
      <w:pPr>
        <w:spacing w:line="560" w:lineRule="exact"/>
        <w:ind w:firstLine="424" w:firstLineChars="177"/>
        <w:rPr>
          <w:rFonts w:ascii="宋体" w:hAnsi="宋体" w:cs="宋体"/>
          <w:sz w:val="24"/>
          <w:szCs w:val="24"/>
        </w:rPr>
      </w:pPr>
      <w:r>
        <w:rPr>
          <w:rFonts w:hint="eastAsia" w:ascii="宋体" w:hAnsi="宋体" w:cs="宋体"/>
          <w:sz w:val="24"/>
          <w:szCs w:val="24"/>
        </w:rPr>
        <w:t>乙方（服务人）：</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rPr>
        <w:t xml:space="preserve">    </w:t>
      </w:r>
      <w:r>
        <w:rPr>
          <w:rFonts w:hint="eastAsia" w:ascii="宋体" w:hAnsi="宋体" w:cs="宋体"/>
          <w:bCs/>
          <w:color w:val="000000"/>
          <w:sz w:val="24"/>
          <w:szCs w:val="24"/>
          <w:shd w:val="clear" w:color="auto" w:fill="FFFFFF"/>
        </w:rPr>
        <w:t>为加强服务采购中的廉政建设，规范项目服务双方的各项活动，防止发生各种谋取不正当利益的违法违纪行为，保护国家、集体和当事人的合法权益，根据国家有关服务行业的法律法规和廉政建设责任制规定，特订立廉政建设协议书。</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shd w:val="clear" w:color="auto" w:fill="FFFFFF"/>
        </w:rPr>
        <w:t xml:space="preserve">    </w:t>
      </w:r>
      <w:bookmarkStart w:id="554" w:name="_Toc8796"/>
      <w:r>
        <w:rPr>
          <w:rFonts w:hint="eastAsia" w:ascii="宋体" w:hAnsi="宋体" w:cs="宋体"/>
          <w:bCs/>
          <w:color w:val="000000"/>
          <w:sz w:val="24"/>
          <w:szCs w:val="24"/>
          <w:shd w:val="clear" w:color="auto" w:fill="FFFFFF"/>
        </w:rPr>
        <w:t>(一）甲乙双方的责任</w:t>
      </w:r>
      <w:bookmarkEnd w:id="554"/>
    </w:p>
    <w:p>
      <w:pPr>
        <w:adjustRightInd w:val="0"/>
        <w:snapToGrid w:val="0"/>
        <w:spacing w:line="560" w:lineRule="exact"/>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 xml:space="preserve">    1、严格遵守国家关于市场准入、技术服务、项目招标投标、工程建设、施工安装和市场活动等有关法律、法规，相关政策，以及廉政建设的各项规定。</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shd w:val="clear" w:color="auto" w:fill="FFFFFF"/>
        </w:rPr>
        <w:t xml:space="preserve">    2、严格执行项目服务合同文件，自觉按合同办事。</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rPr>
        <w:t xml:space="preserve">   </w:t>
      </w:r>
      <w:r>
        <w:rPr>
          <w:rFonts w:hint="eastAsia" w:ascii="宋体" w:hAnsi="宋体" w:cs="宋体"/>
          <w:bCs/>
          <w:color w:val="000000"/>
          <w:sz w:val="24"/>
          <w:szCs w:val="24"/>
          <w:shd w:val="clear" w:color="auto" w:fill="FFFFFF"/>
        </w:rPr>
        <w:t xml:space="preserve"> 3、业务活动必须坚持公开、公平、公正、诚信、透明的原则（除法律法规另有规定者外），不得为获取不正当的利益，损害国家、集体和双方利益，不得违反工程建设管理的规章制度。</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shd w:val="clear" w:color="auto" w:fill="FFFFFF"/>
        </w:rPr>
        <w:t xml:space="preserve">    4、发现对方在业务活动中有违规、违纪、违法行为的，应及时提醒对方，情节严重的，应向其上级主管部门或纪检监察、司法等有关机关举报。</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shd w:val="clear" w:color="auto" w:fill="FFFFFF"/>
        </w:rPr>
        <w:t xml:space="preserve">   </w:t>
      </w:r>
      <w:bookmarkStart w:id="555" w:name="_Toc31103"/>
      <w:r>
        <w:rPr>
          <w:rFonts w:hint="eastAsia" w:ascii="宋体" w:hAnsi="宋体" w:cs="宋体"/>
          <w:bCs/>
          <w:color w:val="000000"/>
          <w:sz w:val="24"/>
          <w:szCs w:val="24"/>
          <w:shd w:val="clear" w:color="auto" w:fill="FFFFFF"/>
        </w:rPr>
        <w:t>（二）甲方的责任</w:t>
      </w:r>
      <w:bookmarkEnd w:id="555"/>
    </w:p>
    <w:p>
      <w:pPr>
        <w:adjustRightInd w:val="0"/>
        <w:snapToGrid w:val="0"/>
        <w:spacing w:line="560" w:lineRule="exact"/>
        <w:ind w:firstLine="562"/>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 xml:space="preserve">甲方的领导和从事该采购项目的工作人员，在工作的事前、事中、事后应遵守以下规定：  </w:t>
      </w:r>
    </w:p>
    <w:p>
      <w:pPr>
        <w:adjustRightInd w:val="0"/>
        <w:snapToGrid w:val="0"/>
        <w:spacing w:line="560" w:lineRule="exact"/>
        <w:ind w:firstLine="480" w:firstLineChars="200"/>
        <w:rPr>
          <w:rFonts w:ascii="宋体" w:hAnsi="宋体" w:cs="宋体"/>
          <w:b/>
          <w:bCs/>
          <w:color w:val="000000"/>
          <w:sz w:val="24"/>
          <w:szCs w:val="24"/>
        </w:rPr>
      </w:pPr>
      <w:r>
        <w:rPr>
          <w:rFonts w:hint="eastAsia" w:ascii="宋体" w:hAnsi="宋体" w:cs="宋体"/>
          <w:bCs/>
          <w:color w:val="000000"/>
          <w:sz w:val="24"/>
          <w:szCs w:val="24"/>
          <w:shd w:val="clear" w:color="auto" w:fill="FFFFFF"/>
        </w:rPr>
        <w:t>1、不准向乙方和相关单位索要或接受回扣、礼金、有价证券、贵重物品和好处费、感谢费等。</w:t>
      </w:r>
    </w:p>
    <w:p>
      <w:pPr>
        <w:adjustRightInd w:val="0"/>
        <w:snapToGrid w:val="0"/>
        <w:spacing w:line="560" w:lineRule="exact"/>
        <w:ind w:firstLine="480"/>
        <w:rPr>
          <w:rFonts w:ascii="宋体" w:hAnsi="宋体" w:cs="宋体"/>
          <w:b/>
          <w:bCs/>
          <w:color w:val="000000"/>
          <w:sz w:val="24"/>
          <w:szCs w:val="24"/>
        </w:rPr>
      </w:pPr>
      <w:r>
        <w:rPr>
          <w:rFonts w:hint="eastAsia" w:ascii="宋体" w:hAnsi="宋体" w:cs="宋体"/>
          <w:bCs/>
          <w:color w:val="000000"/>
          <w:sz w:val="24"/>
          <w:szCs w:val="24"/>
          <w:shd w:val="clear" w:color="auto" w:fill="FFFFFF"/>
        </w:rPr>
        <w:t>2、不准在乙方和相关单位报销任何应由甲方或个人支付的费用。</w:t>
      </w:r>
    </w:p>
    <w:p>
      <w:pPr>
        <w:adjustRightInd w:val="0"/>
        <w:snapToGrid w:val="0"/>
        <w:spacing w:line="560" w:lineRule="exact"/>
        <w:ind w:firstLine="480"/>
        <w:rPr>
          <w:rFonts w:ascii="宋体" w:hAnsi="宋体" w:cs="宋体"/>
          <w:b/>
          <w:bCs/>
          <w:color w:val="000000"/>
          <w:sz w:val="24"/>
          <w:szCs w:val="24"/>
        </w:rPr>
      </w:pPr>
      <w:r>
        <w:rPr>
          <w:rFonts w:hint="eastAsia" w:ascii="宋体" w:hAnsi="宋体" w:cs="宋体"/>
          <w:bCs/>
          <w:color w:val="000000"/>
          <w:sz w:val="24"/>
          <w:szCs w:val="24"/>
          <w:shd w:val="clear" w:color="auto" w:fill="FFFFFF"/>
        </w:rPr>
        <w:t>3、不准要求、暗示或接受乙方和相关单位为个人装修住房、婚丧嫁娶、配偶子女的工作安排以及出国（境）、旅游等提供方便。</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shd w:val="clear" w:color="auto" w:fill="FFFFFF"/>
        </w:rPr>
        <w:t xml:space="preserve">    4、不准参加有可能影响公正履行职责的乙方和相关单位的宴请和健身、娱乐等活动。</w:t>
      </w:r>
    </w:p>
    <w:p>
      <w:pPr>
        <w:adjustRightInd w:val="0"/>
        <w:snapToGrid w:val="0"/>
        <w:spacing w:line="560" w:lineRule="exact"/>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 xml:space="preserve">    5、不准向乙方介绍或为配偶、子女、亲属参与同甲方项目合同有关的设备、材料、分包、劳务、服务等经济活动。不得以任何理由向乙方和相关单位推荐分包单位和要求乙方购买项目合同规定以外的材料、设备、服务等。</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rPr>
        <w:t xml:space="preserve">   </w:t>
      </w:r>
      <w:bookmarkStart w:id="556" w:name="_Toc4596"/>
      <w:r>
        <w:rPr>
          <w:rFonts w:hint="eastAsia" w:ascii="宋体" w:hAnsi="宋体" w:cs="宋体"/>
          <w:bCs/>
          <w:color w:val="000000"/>
          <w:sz w:val="24"/>
          <w:szCs w:val="24"/>
          <w:shd w:val="clear" w:color="auto" w:fill="FFFFFF"/>
        </w:rPr>
        <w:t>（三）乙方的责任</w:t>
      </w:r>
      <w:bookmarkEnd w:id="556"/>
    </w:p>
    <w:p>
      <w:pPr>
        <w:adjustRightInd w:val="0"/>
        <w:snapToGrid w:val="0"/>
        <w:spacing w:line="560" w:lineRule="exact"/>
        <w:ind w:firstLine="562"/>
        <w:rPr>
          <w:rFonts w:ascii="宋体" w:hAnsi="宋体" w:cs="宋体"/>
          <w:b/>
          <w:bCs/>
          <w:color w:val="000000"/>
          <w:sz w:val="24"/>
          <w:szCs w:val="24"/>
        </w:rPr>
      </w:pPr>
      <w:r>
        <w:rPr>
          <w:rFonts w:hint="eastAsia" w:ascii="宋体" w:hAnsi="宋体" w:cs="宋体"/>
          <w:bCs/>
          <w:color w:val="000000"/>
          <w:sz w:val="24"/>
          <w:szCs w:val="24"/>
          <w:shd w:val="clear" w:color="auto" w:fill="FFFFFF"/>
        </w:rPr>
        <w:t>应与甲方保持正常的业务交往，按照有关法律法规和程序开展业务工作，严格执行工程建设的有关方针、政策，尤其是强制性标准和规范，并遵守以下规定：</w:t>
      </w:r>
    </w:p>
    <w:p>
      <w:pPr>
        <w:adjustRightInd w:val="0"/>
        <w:snapToGrid w:val="0"/>
        <w:spacing w:line="560" w:lineRule="exact"/>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 xml:space="preserve">    1、不准接受、明示或暗示为甲方和相关单位提供回扣、礼金、有价证券、贵重物品和好处费、感谢费等。</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shd w:val="clear" w:color="auto" w:fill="FFFFFF"/>
        </w:rPr>
        <w:t xml:space="preserve">    2、不准以任何理由向甲方及其工作人员索要、接受或赠送礼金、有价证券、贵重物品和回扣、好处费、感谢费等。</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shd w:val="clear" w:color="auto" w:fill="FFFFFF"/>
        </w:rPr>
        <w:t xml:space="preserve">    3、不准以任何理由为甲方和相关单位报销应由对方或个人支付的费用。</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shd w:val="clear" w:color="auto" w:fill="FFFFFF"/>
        </w:rPr>
        <w:t xml:space="preserve">    4、不准接受、明示或暗示为甲方、相关单位或个人装修住房、婚丧嫁娶、配偶子女的工作安排以及出国（境）、旅游等提供方便。</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shd w:val="clear" w:color="auto" w:fill="FFFFFF"/>
        </w:rPr>
        <w:t xml:space="preserve">    5、不准以任何理由为甲方、相关单位或个人提供有可能影响公正履行职责的宴请、健身、娱乐等活动。</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rPr>
        <w:t xml:space="preserve">   </w:t>
      </w:r>
      <w:bookmarkStart w:id="557" w:name="_Toc21674"/>
      <w:r>
        <w:rPr>
          <w:rFonts w:hint="eastAsia" w:ascii="宋体" w:hAnsi="宋体" w:cs="宋体"/>
          <w:bCs/>
          <w:color w:val="000000"/>
          <w:sz w:val="24"/>
          <w:szCs w:val="24"/>
          <w:shd w:val="clear" w:color="auto" w:fill="FFFFFF"/>
        </w:rPr>
        <w:t>（四）违约责任</w:t>
      </w:r>
      <w:bookmarkEnd w:id="557"/>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shd w:val="clear" w:color="auto" w:fill="FFFFFF"/>
        </w:rPr>
        <w:t xml:space="preserve">    1、甲方工作人员有违反本协议书第一、二条责任行为的，按照管理权限，依据有关法律法规和甲方的有关规定给予党纪、政纪处分或组织处理；涉嫌犯罪的，移交司法机关追究刑事责任。</w:t>
      </w:r>
    </w:p>
    <w:p>
      <w:pPr>
        <w:adjustRightInd w:val="0"/>
        <w:snapToGrid w:val="0"/>
        <w:spacing w:line="560" w:lineRule="exact"/>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 xml:space="preserve">    2、乙方工作人员有违反本合同第一、二条责任行为的，按照管理权限，依据有关法律法规和双方合同约定给予党纪、政纪处分或组织处理；涉嫌犯罪的，移交司法机关追究刑事责任。</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rPr>
        <w:t xml:space="preserve">    3、因</w:t>
      </w:r>
      <w:r>
        <w:rPr>
          <w:rFonts w:hint="eastAsia" w:ascii="宋体" w:hAnsi="宋体" w:cs="宋体"/>
          <w:bCs/>
          <w:color w:val="000000"/>
          <w:sz w:val="24"/>
          <w:szCs w:val="24"/>
          <w:shd w:val="clear" w:color="auto" w:fill="FFFFFF"/>
        </w:rPr>
        <w:t>乙方工作人员有违反本合同第一、二条责任行为给甲方造成直接或间接损失，乙方负责赔偿。</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rPr>
        <w:t xml:space="preserve">    </w:t>
      </w:r>
      <w:r>
        <w:rPr>
          <w:rFonts w:hint="eastAsia" w:ascii="宋体" w:hAnsi="宋体" w:cs="宋体"/>
          <w:bCs/>
          <w:color w:val="000000"/>
          <w:sz w:val="24"/>
          <w:szCs w:val="24"/>
          <w:shd w:val="clear" w:color="auto" w:fill="FFFFFF"/>
        </w:rPr>
        <w:t>本协议书作为项目合同的附件，与项目合同具有同等法律效力。</w:t>
      </w:r>
    </w:p>
    <w:p>
      <w:pPr>
        <w:adjustRightInd w:val="0"/>
        <w:snapToGrid w:val="0"/>
        <w:spacing w:line="560" w:lineRule="exact"/>
        <w:rPr>
          <w:rFonts w:ascii="宋体" w:hAnsi="宋体" w:cs="宋体"/>
          <w:b/>
          <w:bCs/>
          <w:color w:val="000000"/>
          <w:sz w:val="24"/>
          <w:szCs w:val="24"/>
        </w:rPr>
      </w:pPr>
      <w:r>
        <w:rPr>
          <w:rFonts w:hint="eastAsia" w:ascii="宋体" w:hAnsi="宋体" w:cs="宋体"/>
          <w:bCs/>
          <w:color w:val="000000"/>
          <w:sz w:val="24"/>
          <w:szCs w:val="24"/>
          <w:shd w:val="clear" w:color="auto" w:fill="FFFFFF"/>
        </w:rPr>
        <w:t xml:space="preserve">    本协议书的有效期与签订的合同约定同步执行。</w:t>
      </w:r>
    </w:p>
    <w:p>
      <w:pPr>
        <w:adjustRightInd w:val="0"/>
        <w:snapToGrid w:val="0"/>
        <w:spacing w:line="560" w:lineRule="exact"/>
        <w:ind w:left="980"/>
        <w:rPr>
          <w:rFonts w:ascii="宋体" w:hAnsi="宋体" w:cs="宋体"/>
          <w:b/>
          <w:bCs/>
          <w:color w:val="000000"/>
          <w:sz w:val="24"/>
          <w:szCs w:val="24"/>
          <w:shd w:val="clear" w:color="auto" w:fill="FFFFFF"/>
        </w:rPr>
      </w:pPr>
    </w:p>
    <w:p>
      <w:pPr>
        <w:spacing w:line="560" w:lineRule="exact"/>
        <w:ind w:left="424" w:leftChars="202" w:firstLine="139" w:firstLineChars="58"/>
        <w:rPr>
          <w:rFonts w:ascii="宋体" w:cs="宋体"/>
          <w:sz w:val="24"/>
          <w:u w:val="single"/>
        </w:rPr>
      </w:pPr>
      <w:r>
        <w:rPr>
          <w:rFonts w:hint="eastAsia" w:ascii="宋体" w:hAnsi="宋体" w:cs="宋体"/>
          <w:sz w:val="24"/>
        </w:rPr>
        <w:t>甲方：</w:t>
      </w:r>
      <w:r>
        <w:rPr>
          <w:rFonts w:hint="eastAsia" w:ascii="宋体" w:hAnsi="宋体" w:cs="宋体"/>
          <w:sz w:val="24"/>
          <w:u w:val="single"/>
        </w:rPr>
        <w:t>（盖章）</w:t>
      </w:r>
      <w:r>
        <w:rPr>
          <w:rFonts w:ascii="宋体" w:hAnsi="宋体" w:cs="宋体"/>
          <w:sz w:val="24"/>
        </w:rPr>
        <w:t xml:space="preserve">                     </w:t>
      </w:r>
      <w:r>
        <w:rPr>
          <w:rFonts w:hint="eastAsia" w:ascii="宋体" w:hAnsi="宋体" w:cs="宋体"/>
          <w:sz w:val="24"/>
        </w:rPr>
        <w:t>乙方：</w:t>
      </w:r>
      <w:r>
        <w:rPr>
          <w:rFonts w:ascii="宋体" w:hAnsi="宋体" w:cs="宋体"/>
          <w:sz w:val="24"/>
          <w:u w:val="single"/>
        </w:rPr>
        <w:t xml:space="preserve">  </w:t>
      </w:r>
      <w:r>
        <w:rPr>
          <w:rFonts w:hint="eastAsia" w:ascii="宋体" w:hAnsi="宋体" w:cs="宋体"/>
          <w:sz w:val="24"/>
          <w:u w:val="single"/>
        </w:rPr>
        <w:t>（盖章）</w:t>
      </w:r>
    </w:p>
    <w:p>
      <w:pPr>
        <w:spacing w:line="560" w:lineRule="exact"/>
        <w:ind w:left="424" w:leftChars="202" w:firstLine="139" w:firstLineChars="58"/>
        <w:rPr>
          <w:rFonts w:ascii="宋体" w:hAnsi="宋体" w:cs="宋体"/>
          <w:sz w:val="24"/>
        </w:rPr>
      </w:pPr>
      <w:r>
        <w:rPr>
          <w:rFonts w:hint="eastAsia" w:ascii="宋体" w:hAnsi="宋体" w:cs="宋体"/>
          <w:sz w:val="24"/>
        </w:rPr>
        <w:t>法定代表人：</w:t>
      </w:r>
      <w:r>
        <w:rPr>
          <w:rFonts w:ascii="宋体" w:hAnsi="宋体" w:cs="宋体"/>
          <w:sz w:val="24"/>
        </w:rPr>
        <w:t xml:space="preserve">                      </w:t>
      </w:r>
      <w:r>
        <w:rPr>
          <w:rFonts w:hint="eastAsia" w:ascii="宋体" w:hAnsi="宋体" w:cs="宋体"/>
          <w:sz w:val="24"/>
        </w:rPr>
        <w:t xml:space="preserve"> 法定代表人：</w:t>
      </w:r>
      <w:r>
        <w:rPr>
          <w:rFonts w:ascii="宋体" w:hAnsi="宋体" w:cs="宋体"/>
          <w:sz w:val="24"/>
        </w:rPr>
        <w:t xml:space="preserve"> </w:t>
      </w:r>
    </w:p>
    <w:p>
      <w:pPr>
        <w:spacing w:line="560" w:lineRule="exact"/>
        <w:ind w:left="424" w:leftChars="202" w:firstLine="139" w:firstLineChars="58"/>
        <w:rPr>
          <w:rFonts w:ascii="宋体" w:cs="宋体"/>
          <w:sz w:val="24"/>
          <w:u w:val="single"/>
        </w:rPr>
      </w:pPr>
      <w:r>
        <w:rPr>
          <w:rFonts w:hint="eastAsia" w:ascii="宋体" w:hAnsi="宋体" w:cs="宋体"/>
          <w:sz w:val="24"/>
        </w:rPr>
        <w:t>或授权代理人：</w:t>
      </w:r>
      <w:r>
        <w:rPr>
          <w:rFonts w:hint="eastAsia" w:ascii="宋体" w:hAnsi="宋体" w:cs="宋体"/>
          <w:sz w:val="24"/>
          <w:u w:val="single"/>
        </w:rPr>
        <w:t>（签字）</w:t>
      </w:r>
      <w:r>
        <w:rPr>
          <w:rFonts w:ascii="宋体" w:hAnsi="宋体" w:cs="宋体"/>
          <w:sz w:val="24"/>
        </w:rPr>
        <w:t xml:space="preserve">            </w:t>
      </w:r>
      <w:r>
        <w:rPr>
          <w:rFonts w:hint="eastAsia" w:ascii="宋体" w:hAnsi="宋体" w:cs="宋体"/>
          <w:sz w:val="24"/>
        </w:rPr>
        <w:t xml:space="preserve"> 或授权代理人：</w:t>
      </w:r>
      <w:r>
        <w:rPr>
          <w:rFonts w:hint="eastAsia" w:ascii="宋体" w:hAnsi="宋体" w:cs="宋体"/>
          <w:sz w:val="24"/>
          <w:u w:val="single"/>
        </w:rPr>
        <w:t>（签字）</w:t>
      </w:r>
    </w:p>
    <w:p>
      <w:pPr>
        <w:spacing w:line="560" w:lineRule="exact"/>
        <w:ind w:left="424" w:leftChars="202" w:firstLine="139" w:firstLineChars="58"/>
        <w:rPr>
          <w:rFonts w:asci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rPr>
        <w:t xml:space="preserve">                           </w:t>
      </w:r>
      <w:r>
        <w:rPr>
          <w:rFonts w:hint="eastAsia" w:ascii="宋体" w:hAnsi="宋体" w:cs="宋体"/>
          <w:sz w:val="24"/>
        </w:rPr>
        <w:t xml:space="preserve"> 地</w:t>
      </w:r>
      <w:r>
        <w:rPr>
          <w:rFonts w:ascii="宋体" w:hAnsi="宋体" w:cs="宋体"/>
          <w:sz w:val="24"/>
        </w:rPr>
        <w:t xml:space="preserve"> </w:t>
      </w:r>
      <w:r>
        <w:rPr>
          <w:rFonts w:hint="eastAsia" w:ascii="宋体" w:hAnsi="宋体" w:cs="宋体"/>
          <w:sz w:val="24"/>
        </w:rPr>
        <w:t>址：</w:t>
      </w:r>
    </w:p>
    <w:p>
      <w:pPr>
        <w:spacing w:line="560" w:lineRule="exact"/>
        <w:ind w:left="424" w:leftChars="202" w:firstLine="139" w:firstLineChars="58"/>
        <w:rPr>
          <w:rFonts w:asci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rPr>
        <w:t xml:space="preserve"> </w:t>
      </w:r>
      <w:r>
        <w:rPr>
          <w:rFonts w:hint="eastAsia" w:ascii="宋体" w:hAnsi="宋体" w:cs="宋体"/>
          <w:sz w:val="24"/>
        </w:rPr>
        <w:t>：</w:t>
      </w:r>
      <w:r>
        <w:rPr>
          <w:rFonts w:ascii="宋体" w:hAnsi="宋体" w:cs="宋体"/>
          <w:sz w:val="24"/>
        </w:rPr>
        <w:t xml:space="preserve">                          </w:t>
      </w:r>
      <w:r>
        <w:rPr>
          <w:rFonts w:hint="eastAsia" w:ascii="宋体" w:hAnsi="宋体" w:cs="宋体"/>
          <w:sz w:val="24"/>
        </w:rPr>
        <w:t xml:space="preserve"> 电</w:t>
      </w:r>
      <w:r>
        <w:rPr>
          <w:rFonts w:ascii="宋体" w:hAnsi="宋体" w:cs="宋体"/>
          <w:sz w:val="24"/>
        </w:rPr>
        <w:t xml:space="preserve"> </w:t>
      </w:r>
      <w:r>
        <w:rPr>
          <w:rFonts w:hint="eastAsia" w:ascii="宋体" w:hAnsi="宋体" w:cs="宋体"/>
          <w:sz w:val="24"/>
        </w:rPr>
        <w:t>话：</w:t>
      </w:r>
    </w:p>
    <w:p>
      <w:pPr>
        <w:spacing w:line="560" w:lineRule="exact"/>
        <w:ind w:left="424" w:leftChars="202" w:firstLine="139" w:firstLineChars="58"/>
        <w:rPr>
          <w:rFonts w:ascii="宋体" w:cs="宋体"/>
          <w:sz w:val="24"/>
        </w:rPr>
      </w:pP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r>
        <w:rPr>
          <w:rFonts w:ascii="宋体" w:hAnsi="宋体" w:cs="宋体"/>
          <w:sz w:val="24"/>
        </w:rPr>
        <w:t xml:space="preserve">            </w:t>
      </w:r>
      <w:r>
        <w:rPr>
          <w:rFonts w:hint="eastAsia" w:ascii="宋体" w:hAnsi="宋体" w:cs="宋体"/>
          <w:sz w:val="24"/>
        </w:rPr>
        <w:t xml:space="preserve">     日</w:t>
      </w:r>
      <w:r>
        <w:rPr>
          <w:rFonts w:ascii="宋体" w:hAnsi="宋体" w:cs="宋体"/>
          <w:sz w:val="24"/>
        </w:rPr>
        <w:t xml:space="preserve"> </w:t>
      </w:r>
      <w:r>
        <w:rPr>
          <w:rFonts w:hint="eastAsia" w:ascii="宋体" w:hAnsi="宋体" w:cs="宋体"/>
          <w:sz w:val="24"/>
        </w:rPr>
        <w:t>期：</w:t>
      </w:r>
      <w:r>
        <w:rPr>
          <w:rFonts w:hint="eastAsia" w:ascii="宋体" w:hAnsi="宋体" w:cs="宋体"/>
          <w:b/>
          <w:sz w:val="24"/>
        </w:rPr>
        <w:t xml:space="preserve">  </w:t>
      </w: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p>
    <w:p>
      <w:pPr>
        <w:rPr>
          <w:rFonts w:ascii="宋体" w:hAnsi="宋体" w:cs="宋体"/>
          <w:sz w:val="24"/>
        </w:rPr>
      </w:pPr>
      <w:r>
        <w:rPr>
          <w:rFonts w:ascii="宋体"/>
          <w:sz w:val="24"/>
          <w:szCs w:val="24"/>
        </w:rPr>
        <w:br w:type="page"/>
      </w:r>
      <w:r>
        <w:rPr>
          <w:rFonts w:hint="eastAsia"/>
          <w:b/>
          <w:bCs/>
          <w:sz w:val="32"/>
          <w:szCs w:val="32"/>
        </w:rPr>
        <w:t>附件2</w:t>
      </w:r>
    </w:p>
    <w:p>
      <w:pPr>
        <w:spacing w:line="560" w:lineRule="exact"/>
        <w:jc w:val="center"/>
        <w:rPr>
          <w:b/>
          <w:bCs/>
          <w:sz w:val="32"/>
          <w:szCs w:val="32"/>
        </w:rPr>
      </w:pPr>
      <w:r>
        <w:rPr>
          <w:rFonts w:hint="eastAsia"/>
          <w:b/>
          <w:bCs/>
          <w:sz w:val="32"/>
          <w:szCs w:val="32"/>
        </w:rPr>
        <w:t>安全承诺书</w:t>
      </w:r>
    </w:p>
    <w:p>
      <w:pPr>
        <w:spacing w:line="480" w:lineRule="auto"/>
        <w:ind w:firstLine="482" w:firstLineChars="200"/>
        <w:rPr>
          <w:rFonts w:ascii="宋体" w:hAnsi="宋体" w:cs="宋体"/>
          <w:sz w:val="24"/>
          <w:szCs w:val="24"/>
        </w:rPr>
      </w:pPr>
      <w:bookmarkStart w:id="558" w:name="_Toc32672"/>
      <w:bookmarkStart w:id="559" w:name="_Toc23268"/>
      <w:r>
        <w:rPr>
          <w:rFonts w:hint="eastAsia" w:ascii="宋体" w:hAnsi="宋体" w:cs="宋体"/>
          <w:b/>
          <w:bCs/>
          <w:sz w:val="24"/>
          <w:szCs w:val="24"/>
        </w:rPr>
        <w:t>发包人：</w:t>
      </w:r>
      <w:r>
        <w:rPr>
          <w:rFonts w:hint="eastAsia" w:ascii="宋体" w:hAnsi="宋体" w:cs="宋体"/>
          <w:sz w:val="24"/>
          <w:szCs w:val="24"/>
          <w:u w:val="single"/>
        </w:rPr>
        <w:t>中节能（攀枝花）清洁技术发展有限公司</w:t>
      </w:r>
      <w:bookmarkEnd w:id="558"/>
      <w:bookmarkEnd w:id="559"/>
    </w:p>
    <w:p>
      <w:pPr>
        <w:spacing w:line="480" w:lineRule="auto"/>
        <w:ind w:firstLine="480" w:firstLineChars="200"/>
        <w:rPr>
          <w:rFonts w:ascii="宋体" w:hAnsi="宋体" w:cs="宋体"/>
          <w:sz w:val="24"/>
          <w:szCs w:val="24"/>
        </w:rPr>
      </w:pPr>
      <w:r>
        <w:rPr>
          <w:rFonts w:hint="eastAsia" w:ascii="宋体" w:hAnsi="宋体" w:cs="宋体"/>
          <w:sz w:val="24"/>
          <w:szCs w:val="24"/>
        </w:rPr>
        <w:t>为加强公司安全生产管理，有效控制各类事故的发生，减少人员伤亡和财产损失，我公司对中节能（攀枝花）清洁技术发展有限公司排污许可证申办填报及取证”签订的合同负责，本着关爱员工健康的安全管理方针，实现安全生产施工管理目标，使员工在工作中做到遵章守法，规范操作，做出如下承诺：</w:t>
      </w:r>
    </w:p>
    <w:p>
      <w:pPr>
        <w:widowControl/>
        <w:numPr>
          <w:ilvl w:val="0"/>
          <w:numId w:val="2"/>
        </w:numPr>
        <w:spacing w:line="480" w:lineRule="auto"/>
        <w:jc w:val="left"/>
        <w:rPr>
          <w:rFonts w:ascii="宋体" w:hAnsi="宋体" w:cs="宋体"/>
          <w:sz w:val="24"/>
          <w:szCs w:val="24"/>
        </w:rPr>
      </w:pPr>
      <w:r>
        <w:rPr>
          <w:rFonts w:hint="eastAsia" w:ascii="宋体" w:hAnsi="宋体" w:cs="宋体"/>
          <w:sz w:val="24"/>
          <w:szCs w:val="24"/>
        </w:rPr>
        <w:t>无重大火灾爆炸事故；</w:t>
      </w:r>
    </w:p>
    <w:p>
      <w:pPr>
        <w:widowControl/>
        <w:numPr>
          <w:ilvl w:val="0"/>
          <w:numId w:val="2"/>
        </w:numPr>
        <w:spacing w:line="480" w:lineRule="auto"/>
        <w:jc w:val="left"/>
        <w:rPr>
          <w:rFonts w:ascii="宋体" w:hAnsi="宋体" w:cs="宋体"/>
          <w:sz w:val="24"/>
          <w:szCs w:val="24"/>
        </w:rPr>
      </w:pPr>
      <w:r>
        <w:rPr>
          <w:rFonts w:hint="eastAsia" w:ascii="宋体" w:hAnsi="宋体" w:cs="宋体"/>
          <w:sz w:val="24"/>
          <w:szCs w:val="24"/>
        </w:rPr>
        <w:t>无因公伤亡事故；</w:t>
      </w:r>
    </w:p>
    <w:p>
      <w:pPr>
        <w:widowControl/>
        <w:numPr>
          <w:ilvl w:val="0"/>
          <w:numId w:val="2"/>
        </w:numPr>
        <w:spacing w:line="480" w:lineRule="auto"/>
        <w:jc w:val="left"/>
        <w:rPr>
          <w:rFonts w:ascii="宋体" w:hAnsi="宋体" w:cs="宋体"/>
          <w:sz w:val="24"/>
          <w:szCs w:val="24"/>
        </w:rPr>
      </w:pPr>
      <w:r>
        <w:rPr>
          <w:rFonts w:hint="eastAsia" w:ascii="宋体" w:hAnsi="宋体" w:cs="宋体"/>
          <w:sz w:val="24"/>
          <w:szCs w:val="24"/>
        </w:rPr>
        <w:t>无触电伤亡事故；</w:t>
      </w:r>
    </w:p>
    <w:p>
      <w:pPr>
        <w:widowControl/>
        <w:numPr>
          <w:ilvl w:val="0"/>
          <w:numId w:val="2"/>
        </w:numPr>
        <w:spacing w:line="480" w:lineRule="auto"/>
        <w:jc w:val="left"/>
        <w:rPr>
          <w:rFonts w:ascii="宋体" w:hAnsi="宋体" w:cs="宋体"/>
          <w:sz w:val="24"/>
          <w:szCs w:val="24"/>
        </w:rPr>
      </w:pPr>
      <w:r>
        <w:rPr>
          <w:rFonts w:hint="eastAsia" w:ascii="宋体" w:hAnsi="宋体" w:cs="宋体"/>
          <w:sz w:val="24"/>
          <w:szCs w:val="24"/>
        </w:rPr>
        <w:t>无重大高处坠落、物体打击事故；</w:t>
      </w:r>
    </w:p>
    <w:p>
      <w:pPr>
        <w:widowControl/>
        <w:numPr>
          <w:ilvl w:val="0"/>
          <w:numId w:val="2"/>
        </w:numPr>
        <w:spacing w:line="480" w:lineRule="auto"/>
        <w:jc w:val="left"/>
        <w:rPr>
          <w:rFonts w:ascii="宋体" w:hAnsi="宋体" w:cs="宋体"/>
          <w:sz w:val="24"/>
          <w:szCs w:val="24"/>
        </w:rPr>
      </w:pPr>
      <w:r>
        <w:rPr>
          <w:rFonts w:hint="eastAsia" w:ascii="宋体" w:hAnsi="宋体" w:cs="宋体"/>
          <w:sz w:val="24"/>
          <w:szCs w:val="24"/>
        </w:rPr>
        <w:t>无坍塌伤人事故；</w:t>
      </w:r>
    </w:p>
    <w:p>
      <w:pPr>
        <w:widowControl/>
        <w:numPr>
          <w:ilvl w:val="0"/>
          <w:numId w:val="2"/>
        </w:numPr>
        <w:spacing w:line="480" w:lineRule="auto"/>
        <w:jc w:val="left"/>
        <w:rPr>
          <w:rFonts w:ascii="宋体" w:hAnsi="宋体" w:cs="宋体"/>
          <w:sz w:val="24"/>
          <w:szCs w:val="24"/>
        </w:rPr>
      </w:pPr>
      <w:r>
        <w:rPr>
          <w:rFonts w:hint="eastAsia" w:ascii="宋体" w:hAnsi="宋体" w:cs="宋体"/>
          <w:sz w:val="24"/>
          <w:szCs w:val="24"/>
        </w:rPr>
        <w:t>无重大机械设备事故；</w:t>
      </w:r>
    </w:p>
    <w:p>
      <w:pPr>
        <w:widowControl/>
        <w:numPr>
          <w:ilvl w:val="0"/>
          <w:numId w:val="2"/>
        </w:numPr>
        <w:spacing w:line="480" w:lineRule="auto"/>
        <w:jc w:val="left"/>
        <w:rPr>
          <w:rFonts w:ascii="宋体" w:hAnsi="宋体" w:cs="宋体"/>
          <w:sz w:val="24"/>
          <w:szCs w:val="24"/>
        </w:rPr>
      </w:pPr>
      <w:r>
        <w:rPr>
          <w:rFonts w:hint="eastAsia" w:ascii="宋体" w:hAnsi="宋体" w:cs="宋体"/>
          <w:sz w:val="24"/>
          <w:szCs w:val="24"/>
        </w:rPr>
        <w:t>无重大中毒、窒息事故；</w:t>
      </w:r>
    </w:p>
    <w:p>
      <w:pPr>
        <w:widowControl/>
        <w:numPr>
          <w:ilvl w:val="0"/>
          <w:numId w:val="2"/>
        </w:numPr>
        <w:spacing w:line="480" w:lineRule="auto"/>
        <w:jc w:val="left"/>
        <w:rPr>
          <w:rFonts w:ascii="宋体" w:hAnsi="宋体" w:cs="宋体"/>
          <w:sz w:val="24"/>
          <w:szCs w:val="24"/>
        </w:rPr>
      </w:pPr>
      <w:r>
        <w:rPr>
          <w:rFonts w:hint="eastAsia" w:ascii="宋体" w:hAnsi="宋体" w:cs="宋体"/>
          <w:sz w:val="24"/>
          <w:szCs w:val="24"/>
        </w:rPr>
        <w:t>杜绝发生损坏地下管线事故；</w:t>
      </w:r>
    </w:p>
    <w:p>
      <w:pPr>
        <w:widowControl/>
        <w:numPr>
          <w:ilvl w:val="0"/>
          <w:numId w:val="2"/>
        </w:numPr>
        <w:spacing w:line="480" w:lineRule="auto"/>
        <w:jc w:val="left"/>
        <w:rPr>
          <w:rFonts w:ascii="宋体" w:hAnsi="宋体" w:cs="宋体"/>
          <w:sz w:val="24"/>
          <w:szCs w:val="24"/>
        </w:rPr>
      </w:pPr>
      <w:r>
        <w:rPr>
          <w:rFonts w:hint="eastAsia" w:ascii="宋体" w:hAnsi="宋体" w:cs="宋体"/>
          <w:sz w:val="24"/>
          <w:szCs w:val="24"/>
        </w:rPr>
        <w:t>文明服务，做到有序清洁工作；</w:t>
      </w:r>
    </w:p>
    <w:p>
      <w:pPr>
        <w:widowControl/>
        <w:numPr>
          <w:ilvl w:val="0"/>
          <w:numId w:val="2"/>
        </w:numPr>
        <w:spacing w:line="480" w:lineRule="auto"/>
        <w:jc w:val="left"/>
        <w:rPr>
          <w:rFonts w:ascii="宋体" w:hAnsi="宋体" w:cs="宋体"/>
          <w:sz w:val="24"/>
          <w:szCs w:val="24"/>
        </w:rPr>
      </w:pPr>
      <w:r>
        <w:rPr>
          <w:rFonts w:hint="eastAsia" w:ascii="宋体" w:hAnsi="宋体" w:cs="宋体"/>
          <w:sz w:val="24"/>
          <w:szCs w:val="24"/>
        </w:rPr>
        <w:t>上岗前、上岗中严格遵守9条安全生产禁令、厂纪厂规、安全操作规程。</w:t>
      </w:r>
    </w:p>
    <w:p>
      <w:pPr>
        <w:widowControl/>
        <w:numPr>
          <w:ilvl w:val="0"/>
          <w:numId w:val="2"/>
        </w:numPr>
        <w:spacing w:line="480" w:lineRule="auto"/>
        <w:jc w:val="left"/>
        <w:rPr>
          <w:rFonts w:ascii="宋体" w:hAnsi="宋体" w:cs="宋体"/>
          <w:sz w:val="24"/>
          <w:szCs w:val="24"/>
        </w:rPr>
      </w:pPr>
      <w:r>
        <w:rPr>
          <w:rFonts w:hint="eastAsia" w:ascii="宋体" w:hAnsi="宋体" w:cs="宋体"/>
          <w:sz w:val="24"/>
          <w:szCs w:val="24"/>
        </w:rPr>
        <w:t>工作过程中发生安全事故，我方承担全部责任。</w:t>
      </w:r>
    </w:p>
    <w:p>
      <w:pPr>
        <w:spacing w:line="480" w:lineRule="auto"/>
        <w:ind w:left="551"/>
        <w:rPr>
          <w:rFonts w:ascii="宋体" w:hAnsi="宋体" w:cs="宋体"/>
          <w:sz w:val="24"/>
          <w:szCs w:val="24"/>
        </w:rPr>
      </w:pPr>
    </w:p>
    <w:p>
      <w:pPr>
        <w:spacing w:line="480" w:lineRule="auto"/>
        <w:ind w:left="550" w:leftChars="262" w:firstLine="2160" w:firstLineChars="900"/>
        <w:jc w:val="right"/>
        <w:rPr>
          <w:rFonts w:ascii="宋体" w:hAnsi="宋体" w:cs="宋体"/>
          <w:sz w:val="24"/>
          <w:szCs w:val="24"/>
        </w:rPr>
      </w:pPr>
      <w:r>
        <w:rPr>
          <w:rFonts w:hint="eastAsia" w:ascii="宋体" w:hAnsi="宋体" w:cs="宋体"/>
          <w:sz w:val="24"/>
          <w:szCs w:val="24"/>
        </w:rPr>
        <w:t>承诺人：</w:t>
      </w:r>
      <w:r>
        <w:rPr>
          <w:rFonts w:hint="eastAsia" w:ascii="宋体" w:hAnsi="宋体" w:cs="宋体"/>
          <w:sz w:val="24"/>
          <w:szCs w:val="24"/>
          <w:u w:val="single"/>
        </w:rPr>
        <w:t xml:space="preserve">                          </w:t>
      </w:r>
      <w:r>
        <w:rPr>
          <w:rFonts w:hint="eastAsia" w:ascii="宋体" w:hAnsi="宋体" w:cs="宋体"/>
          <w:sz w:val="24"/>
          <w:szCs w:val="24"/>
        </w:rPr>
        <w:t>，</w:t>
      </w:r>
    </w:p>
    <w:p>
      <w:pPr>
        <w:spacing w:line="480" w:lineRule="auto"/>
        <w:ind w:firstLine="4200" w:firstLineChars="1750"/>
        <w:jc w:val="right"/>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
        <w:ind w:firstLine="562"/>
        <w:jc w:val="center"/>
      </w:pPr>
      <w:r>
        <w:rPr>
          <w:rFonts w:eastAsia="黑体"/>
          <w:sz w:val="28"/>
          <w:szCs w:val="28"/>
        </w:rPr>
        <w:t>第</w:t>
      </w:r>
      <w:r>
        <w:rPr>
          <w:rFonts w:hint="eastAsia" w:eastAsia="黑体"/>
          <w:sz w:val="28"/>
          <w:szCs w:val="28"/>
        </w:rPr>
        <w:t>六</w:t>
      </w:r>
      <w:r>
        <w:rPr>
          <w:rFonts w:eastAsia="黑体"/>
          <w:sz w:val="28"/>
          <w:szCs w:val="28"/>
        </w:rPr>
        <w:t xml:space="preserve">章 </w:t>
      </w:r>
      <w:r>
        <w:rPr>
          <w:rFonts w:hint="eastAsia" w:eastAsia="黑体"/>
          <w:sz w:val="28"/>
          <w:szCs w:val="28"/>
        </w:rPr>
        <w:t>响应文件</w:t>
      </w:r>
      <w:r>
        <w:rPr>
          <w:rFonts w:eastAsia="黑体"/>
          <w:sz w:val="28"/>
          <w:szCs w:val="28"/>
        </w:rPr>
        <w:t>格式</w:t>
      </w:r>
    </w:p>
    <w:p>
      <w:pPr>
        <w:ind w:firstLine="420" w:firstLineChars="200"/>
      </w:pPr>
      <w:bookmarkStart w:id="560" w:name="_Toc6141"/>
      <w:bookmarkStart w:id="561" w:name="_Toc12907"/>
      <w:bookmarkStart w:id="562" w:name="_Toc22670"/>
      <w:r>
        <w:t>正本</w:t>
      </w:r>
      <w:bookmarkEnd w:id="560"/>
      <w:bookmarkEnd w:id="561"/>
      <w:bookmarkEnd w:id="562"/>
    </w:p>
    <w:p>
      <w:pPr>
        <w:spacing w:beforeLines="50" w:afterLines="50" w:line="800" w:lineRule="exact"/>
        <w:jc w:val="center"/>
        <w:outlineLvl w:val="0"/>
        <w:rPr>
          <w:b/>
          <w:sz w:val="32"/>
          <w:szCs w:val="32"/>
        </w:rPr>
      </w:pPr>
      <w:r>
        <w:rPr>
          <w:rFonts w:hint="eastAsia"/>
          <w:b/>
          <w:sz w:val="32"/>
          <w:szCs w:val="32"/>
        </w:rPr>
        <w:t>中节能（攀枝花）清洁技术发展有限公司</w:t>
      </w:r>
      <w:bookmarkEnd w:id="552"/>
      <w:bookmarkEnd w:id="553"/>
    </w:p>
    <w:p>
      <w:pPr>
        <w:spacing w:line="1000" w:lineRule="exact"/>
        <w:jc w:val="center"/>
        <w:outlineLvl w:val="0"/>
        <w:rPr>
          <w:rFonts w:eastAsia="黑体"/>
          <w:b/>
          <w:sz w:val="32"/>
          <w:szCs w:val="32"/>
        </w:rPr>
      </w:pPr>
      <w:bookmarkStart w:id="563" w:name="_Toc9201"/>
      <w:bookmarkStart w:id="564" w:name="_Toc2334"/>
      <w:bookmarkStart w:id="565" w:name="_Toc13705"/>
      <w:r>
        <w:rPr>
          <w:rFonts w:hint="eastAsia" w:ascii="宋体" w:hAnsi="宋体" w:eastAsia="黑体" w:cs="宋体"/>
          <w:b/>
          <w:sz w:val="32"/>
          <w:szCs w:val="32"/>
        </w:rPr>
        <w:t>中小微企业和社会源危险废物集中收集贮存试点单位设施甲类库建设项目建议书、可研报告咨询服务采购</w:t>
      </w:r>
    </w:p>
    <w:p>
      <w:pPr>
        <w:spacing w:line="1000" w:lineRule="exact"/>
        <w:jc w:val="center"/>
        <w:outlineLvl w:val="0"/>
        <w:rPr>
          <w:rFonts w:eastAsia="黑体"/>
          <w:b/>
          <w:sz w:val="70"/>
          <w:szCs w:val="70"/>
        </w:rPr>
      </w:pPr>
    </w:p>
    <w:p>
      <w:pPr>
        <w:spacing w:line="1000" w:lineRule="exact"/>
        <w:jc w:val="center"/>
        <w:outlineLvl w:val="0"/>
        <w:rPr>
          <w:rFonts w:eastAsia="黑体"/>
          <w:b/>
          <w:sz w:val="70"/>
          <w:szCs w:val="70"/>
        </w:rPr>
      </w:pPr>
    </w:p>
    <w:p>
      <w:pPr>
        <w:spacing w:line="1000" w:lineRule="exact"/>
        <w:jc w:val="center"/>
        <w:outlineLvl w:val="0"/>
        <w:rPr>
          <w:rFonts w:eastAsia="黑体"/>
          <w:b/>
          <w:sz w:val="70"/>
          <w:szCs w:val="70"/>
        </w:rPr>
      </w:pPr>
      <w:r>
        <w:rPr>
          <w:rFonts w:hint="eastAsia" w:eastAsia="黑体"/>
          <w:b/>
          <w:sz w:val="70"/>
          <w:szCs w:val="70"/>
        </w:rPr>
        <w:t>询比响应</w:t>
      </w:r>
      <w:r>
        <w:rPr>
          <w:rFonts w:eastAsia="黑体"/>
          <w:b/>
          <w:sz w:val="70"/>
          <w:szCs w:val="70"/>
        </w:rPr>
        <w:t>文件</w:t>
      </w:r>
      <w:bookmarkEnd w:id="563"/>
      <w:bookmarkEnd w:id="564"/>
      <w:bookmarkEnd w:id="565"/>
    </w:p>
    <w:p>
      <w:pPr>
        <w:spacing w:line="560" w:lineRule="exact"/>
        <w:jc w:val="center"/>
        <w:rPr>
          <w:rFonts w:eastAsia="黑体"/>
          <w:b/>
          <w:sz w:val="84"/>
          <w:szCs w:val="84"/>
        </w:rPr>
      </w:pPr>
    </w:p>
    <w:p>
      <w:pPr>
        <w:spacing w:line="560" w:lineRule="exact"/>
        <w:jc w:val="center"/>
        <w:rPr>
          <w:rFonts w:eastAsia="黑体"/>
          <w:b/>
          <w:sz w:val="84"/>
          <w:szCs w:val="84"/>
        </w:rPr>
      </w:pPr>
    </w:p>
    <w:p>
      <w:pPr>
        <w:spacing w:line="560" w:lineRule="exact"/>
        <w:jc w:val="center"/>
        <w:rPr>
          <w:b/>
          <w:sz w:val="36"/>
          <w:szCs w:val="36"/>
        </w:rPr>
      </w:pPr>
    </w:p>
    <w:p>
      <w:pPr>
        <w:spacing w:line="560" w:lineRule="exact"/>
        <w:rPr>
          <w:b/>
          <w:sz w:val="36"/>
          <w:szCs w:val="36"/>
        </w:rPr>
      </w:pPr>
    </w:p>
    <w:p>
      <w:pPr>
        <w:spacing w:line="480" w:lineRule="exact"/>
        <w:ind w:firstLine="826" w:firstLineChars="343"/>
        <w:outlineLvl w:val="0"/>
        <w:rPr>
          <w:b/>
          <w:sz w:val="24"/>
          <w:szCs w:val="24"/>
        </w:rPr>
      </w:pPr>
      <w:bookmarkStart w:id="566" w:name="_Toc30051"/>
      <w:bookmarkStart w:id="567" w:name="_Toc22391"/>
      <w:bookmarkStart w:id="568" w:name="_Toc10738"/>
    </w:p>
    <w:bookmarkEnd w:id="566"/>
    <w:bookmarkEnd w:id="567"/>
    <w:bookmarkEnd w:id="568"/>
    <w:p>
      <w:pPr>
        <w:spacing w:line="480" w:lineRule="exact"/>
        <w:rPr>
          <w:b/>
          <w:sz w:val="24"/>
          <w:szCs w:val="24"/>
        </w:rPr>
      </w:pPr>
    </w:p>
    <w:p>
      <w:pPr>
        <w:spacing w:line="480" w:lineRule="exact"/>
        <w:ind w:firstLine="1275" w:firstLineChars="529"/>
        <w:outlineLvl w:val="0"/>
        <w:rPr>
          <w:b/>
          <w:sz w:val="24"/>
          <w:szCs w:val="24"/>
        </w:rPr>
      </w:pPr>
      <w:bookmarkStart w:id="569" w:name="_Toc14614"/>
      <w:bookmarkStart w:id="570" w:name="_Toc26472"/>
      <w:bookmarkStart w:id="571" w:name="_Toc16517"/>
      <w:r>
        <w:rPr>
          <w:rFonts w:hint="eastAsia"/>
          <w:b/>
          <w:sz w:val="24"/>
          <w:szCs w:val="24"/>
        </w:rPr>
        <w:t>服务商</w:t>
      </w:r>
      <w:r>
        <w:rPr>
          <w:b/>
          <w:sz w:val="24"/>
          <w:szCs w:val="24"/>
        </w:rPr>
        <w:t>名称：</w:t>
      </w:r>
      <w:r>
        <w:rPr>
          <w:b/>
          <w:sz w:val="24"/>
          <w:szCs w:val="24"/>
          <w:u w:val="single"/>
        </w:rPr>
        <w:t xml:space="preserve">                            </w:t>
      </w:r>
      <w:r>
        <w:rPr>
          <w:b/>
          <w:sz w:val="24"/>
          <w:szCs w:val="24"/>
        </w:rPr>
        <w:t>（加盖单位公章）</w:t>
      </w:r>
      <w:bookmarkEnd w:id="569"/>
      <w:bookmarkEnd w:id="570"/>
      <w:bookmarkEnd w:id="571"/>
    </w:p>
    <w:p>
      <w:pPr>
        <w:spacing w:line="480" w:lineRule="exact"/>
        <w:rPr>
          <w:b/>
          <w:sz w:val="24"/>
          <w:szCs w:val="24"/>
        </w:rPr>
      </w:pPr>
    </w:p>
    <w:p>
      <w:pPr>
        <w:spacing w:line="480" w:lineRule="exact"/>
        <w:ind w:firstLine="1275" w:firstLineChars="529"/>
        <w:outlineLvl w:val="0"/>
        <w:rPr>
          <w:b/>
          <w:sz w:val="24"/>
          <w:szCs w:val="24"/>
        </w:rPr>
      </w:pPr>
      <w:bookmarkStart w:id="572" w:name="_Toc27321"/>
      <w:bookmarkStart w:id="573" w:name="_Toc15570"/>
      <w:bookmarkStart w:id="574" w:name="_Toc29295"/>
      <w:r>
        <w:rPr>
          <w:b/>
          <w:sz w:val="24"/>
          <w:szCs w:val="24"/>
        </w:rPr>
        <w:t>法定代表人或委托代理人：</w:t>
      </w:r>
      <w:r>
        <w:rPr>
          <w:b/>
          <w:sz w:val="24"/>
          <w:szCs w:val="24"/>
          <w:u w:val="single"/>
        </w:rPr>
        <w:t xml:space="preserve">                </w:t>
      </w:r>
      <w:r>
        <w:rPr>
          <w:b/>
          <w:sz w:val="24"/>
          <w:szCs w:val="24"/>
        </w:rPr>
        <w:t>（签字或盖章）</w:t>
      </w:r>
      <w:bookmarkEnd w:id="572"/>
      <w:bookmarkEnd w:id="573"/>
      <w:bookmarkEnd w:id="574"/>
      <w:r>
        <w:rPr>
          <w:b/>
          <w:sz w:val="24"/>
          <w:szCs w:val="24"/>
        </w:rPr>
        <w:t xml:space="preserve"> </w:t>
      </w:r>
    </w:p>
    <w:p>
      <w:pPr>
        <w:spacing w:line="480" w:lineRule="exact"/>
        <w:rPr>
          <w:b/>
          <w:sz w:val="24"/>
          <w:szCs w:val="24"/>
        </w:rPr>
      </w:pPr>
    </w:p>
    <w:p>
      <w:pPr>
        <w:spacing w:line="480" w:lineRule="exact"/>
        <w:jc w:val="center"/>
        <w:outlineLvl w:val="1"/>
        <w:rPr>
          <w:b/>
          <w:sz w:val="24"/>
          <w:szCs w:val="24"/>
        </w:rPr>
      </w:pPr>
      <w:bookmarkStart w:id="575" w:name="_Toc25226"/>
      <w:bookmarkStart w:id="576" w:name="_Toc11077"/>
      <w:bookmarkStart w:id="577" w:name="_Toc14744"/>
    </w:p>
    <w:p>
      <w:pPr>
        <w:spacing w:line="480" w:lineRule="exact"/>
        <w:jc w:val="center"/>
        <w:outlineLvl w:val="1"/>
        <w:rPr>
          <w:b/>
          <w:sz w:val="24"/>
          <w:szCs w:val="24"/>
        </w:rPr>
      </w:pPr>
      <w:r>
        <w:rPr>
          <w:b/>
          <w:sz w:val="24"/>
          <w:szCs w:val="24"/>
        </w:rPr>
        <w:t>年  月  日</w:t>
      </w:r>
      <w:bookmarkEnd w:id="575"/>
      <w:bookmarkEnd w:id="576"/>
      <w:bookmarkEnd w:id="577"/>
    </w:p>
    <w:p>
      <w:pPr>
        <w:spacing w:line="480" w:lineRule="exact"/>
        <w:jc w:val="center"/>
        <w:rPr>
          <w:b/>
          <w:sz w:val="24"/>
          <w:szCs w:val="24"/>
        </w:rPr>
        <w:sectPr>
          <w:pgSz w:w="11905" w:h="16838"/>
          <w:pgMar w:top="1417" w:right="1417" w:bottom="1417" w:left="1417" w:header="992" w:footer="992" w:gutter="0"/>
          <w:cols w:space="720" w:num="1"/>
          <w:docGrid w:type="lines" w:linePitch="318" w:charSpace="0"/>
        </w:sectPr>
      </w:pPr>
    </w:p>
    <w:p>
      <w:pPr>
        <w:pStyle w:val="3"/>
        <w:jc w:val="center"/>
      </w:pPr>
      <w:bookmarkStart w:id="578" w:name="_Toc496800141"/>
      <w:bookmarkStart w:id="579" w:name="_Toc496702872"/>
      <w:bookmarkStart w:id="580" w:name="_Toc3560"/>
      <w:bookmarkStart w:id="581" w:name="_Toc496797472"/>
      <w:bookmarkStart w:id="582" w:name="_Toc496800221"/>
      <w:bookmarkStart w:id="583" w:name="_Toc496797512"/>
      <w:bookmarkStart w:id="584" w:name="_Toc496818588"/>
      <w:bookmarkStart w:id="585" w:name="_Toc496800171"/>
      <w:bookmarkStart w:id="586" w:name="_Toc22643"/>
      <w:bookmarkStart w:id="587" w:name="_Toc20825"/>
      <w:r>
        <w:t>目 录</w:t>
      </w:r>
      <w:bookmarkEnd w:id="578"/>
      <w:bookmarkEnd w:id="579"/>
      <w:bookmarkEnd w:id="580"/>
      <w:bookmarkEnd w:id="581"/>
      <w:bookmarkEnd w:id="582"/>
      <w:bookmarkEnd w:id="583"/>
      <w:bookmarkEnd w:id="584"/>
      <w:bookmarkEnd w:id="585"/>
      <w:bookmarkEnd w:id="586"/>
      <w:bookmarkEnd w:id="587"/>
    </w:p>
    <w:p/>
    <w:p>
      <w:pPr>
        <w:pStyle w:val="6"/>
        <w:ind w:firstLine="566" w:firstLineChars="236"/>
        <w:rPr>
          <w:szCs w:val="22"/>
        </w:rPr>
      </w:pPr>
      <w:bookmarkStart w:id="588" w:name="_Toc11265"/>
      <w:r>
        <w:rPr>
          <w:szCs w:val="22"/>
        </w:rPr>
        <w:t>（一）</w:t>
      </w:r>
      <w:bookmarkEnd w:id="588"/>
      <w:r>
        <w:rPr>
          <w:rFonts w:hint="eastAsia"/>
          <w:szCs w:val="22"/>
        </w:rPr>
        <w:t>响应函</w:t>
      </w:r>
    </w:p>
    <w:p>
      <w:pPr>
        <w:pStyle w:val="6"/>
        <w:ind w:firstLine="566" w:firstLineChars="236"/>
        <w:rPr>
          <w:szCs w:val="22"/>
        </w:rPr>
      </w:pPr>
      <w:r>
        <w:rPr>
          <w:szCs w:val="22"/>
        </w:rPr>
        <w:t>（二）</w:t>
      </w:r>
      <w:r>
        <w:rPr>
          <w:rFonts w:hint="eastAsia"/>
          <w:szCs w:val="22"/>
        </w:rPr>
        <w:t>法定代表人身份证明</w:t>
      </w:r>
    </w:p>
    <w:p>
      <w:pPr>
        <w:pStyle w:val="6"/>
        <w:ind w:firstLine="566" w:firstLineChars="236"/>
        <w:rPr>
          <w:szCs w:val="22"/>
        </w:rPr>
      </w:pPr>
      <w:r>
        <w:rPr>
          <w:szCs w:val="22"/>
        </w:rPr>
        <w:t>（三）法定代表人授权委托书</w:t>
      </w:r>
    </w:p>
    <w:p>
      <w:pPr>
        <w:pStyle w:val="6"/>
        <w:ind w:firstLine="566" w:firstLineChars="236"/>
        <w:rPr>
          <w:szCs w:val="22"/>
        </w:rPr>
      </w:pPr>
      <w:bookmarkStart w:id="589" w:name="_Toc15536"/>
      <w:r>
        <w:rPr>
          <w:szCs w:val="22"/>
        </w:rPr>
        <w:t>（四）</w:t>
      </w:r>
      <w:bookmarkEnd w:id="589"/>
      <w:r>
        <w:rPr>
          <w:rFonts w:hint="eastAsia"/>
          <w:szCs w:val="22"/>
        </w:rPr>
        <w:t>价格清单</w:t>
      </w:r>
    </w:p>
    <w:p>
      <w:pPr>
        <w:pStyle w:val="6"/>
        <w:ind w:firstLine="566" w:firstLineChars="236"/>
        <w:rPr>
          <w:szCs w:val="22"/>
        </w:rPr>
      </w:pPr>
      <w:r>
        <w:rPr>
          <w:szCs w:val="22"/>
        </w:rPr>
        <w:t>（</w:t>
      </w:r>
      <w:r>
        <w:rPr>
          <w:rFonts w:hint="eastAsia"/>
          <w:szCs w:val="22"/>
        </w:rPr>
        <w:t>五</w:t>
      </w:r>
      <w:r>
        <w:rPr>
          <w:szCs w:val="22"/>
        </w:rPr>
        <w:t>）</w:t>
      </w:r>
      <w:r>
        <w:rPr>
          <w:rFonts w:hint="eastAsia"/>
          <w:szCs w:val="22"/>
        </w:rPr>
        <w:t>响应保证金</w:t>
      </w:r>
    </w:p>
    <w:p>
      <w:pPr>
        <w:pStyle w:val="6"/>
        <w:ind w:firstLine="566" w:firstLineChars="236"/>
        <w:rPr>
          <w:szCs w:val="22"/>
        </w:rPr>
      </w:pPr>
      <w:bookmarkStart w:id="590" w:name="_Toc28685"/>
      <w:r>
        <w:rPr>
          <w:szCs w:val="22"/>
        </w:rPr>
        <w:t>（</w:t>
      </w:r>
      <w:r>
        <w:rPr>
          <w:rFonts w:hint="eastAsia"/>
          <w:szCs w:val="22"/>
        </w:rPr>
        <w:t>六</w:t>
      </w:r>
      <w:r>
        <w:rPr>
          <w:szCs w:val="22"/>
        </w:rPr>
        <w:t>）</w:t>
      </w:r>
      <w:r>
        <w:rPr>
          <w:rFonts w:hint="eastAsia"/>
          <w:szCs w:val="22"/>
        </w:rPr>
        <w:t>服务商</w:t>
      </w:r>
      <w:r>
        <w:rPr>
          <w:szCs w:val="22"/>
        </w:rPr>
        <w:t>证明文件</w:t>
      </w:r>
      <w:bookmarkEnd w:id="590"/>
    </w:p>
    <w:p>
      <w:pPr>
        <w:pStyle w:val="6"/>
        <w:ind w:firstLine="566" w:firstLineChars="236"/>
        <w:rPr>
          <w:szCs w:val="22"/>
        </w:rPr>
      </w:pPr>
      <w:bookmarkStart w:id="591" w:name="_Toc7348"/>
      <w:r>
        <w:rPr>
          <w:rFonts w:hint="eastAsia"/>
        </w:rPr>
        <w:t>（七）</w:t>
      </w:r>
      <w:r>
        <w:rPr>
          <w:szCs w:val="22"/>
        </w:rPr>
        <w:t>服务方案</w:t>
      </w:r>
      <w:bookmarkEnd w:id="591"/>
    </w:p>
    <w:p>
      <w:pPr>
        <w:pStyle w:val="6"/>
        <w:ind w:firstLine="566" w:firstLineChars="236"/>
      </w:pPr>
      <w:r>
        <w:rPr>
          <w:rFonts w:hint="eastAsia"/>
          <w:szCs w:val="22"/>
        </w:rPr>
        <w:t>（八）</w:t>
      </w:r>
      <w:r>
        <w:rPr>
          <w:rFonts w:hint="eastAsia"/>
        </w:rPr>
        <w:t>响应文件偏差表</w:t>
      </w: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pStyle w:val="29"/>
        <w:ind w:firstLine="562"/>
      </w:pPr>
    </w:p>
    <w:p>
      <w:pPr>
        <w:pStyle w:val="5"/>
        <w:spacing w:before="0" w:after="0" w:line="360" w:lineRule="auto"/>
        <w:jc w:val="center"/>
        <w:rPr>
          <w:rFonts w:ascii="Times New Roman" w:hAnsi="Times New Roman" w:eastAsia="黑体"/>
          <w:sz w:val="24"/>
          <w:szCs w:val="24"/>
        </w:rPr>
      </w:pPr>
      <w:bookmarkStart w:id="592" w:name="_Toc30818"/>
      <w:bookmarkStart w:id="593" w:name="_Toc496702873"/>
      <w:bookmarkStart w:id="594" w:name="_Toc496800222"/>
      <w:bookmarkStart w:id="595" w:name="_Toc496818589"/>
      <w:bookmarkStart w:id="596" w:name="_Toc496800142"/>
      <w:bookmarkStart w:id="597" w:name="_Toc496797513"/>
      <w:bookmarkStart w:id="598" w:name="_Toc496800172"/>
      <w:bookmarkStart w:id="599" w:name="_Toc19629"/>
      <w:bookmarkStart w:id="600" w:name="_Toc496797473"/>
      <w:r>
        <w:rPr>
          <w:rFonts w:ascii="Times New Roman" w:hAnsi="Times New Roman" w:eastAsia="黑体"/>
          <w:sz w:val="24"/>
          <w:szCs w:val="24"/>
        </w:rPr>
        <w:t>一、</w:t>
      </w:r>
      <w:r>
        <w:rPr>
          <w:rFonts w:hint="eastAsia" w:ascii="Times New Roman" w:hAnsi="Times New Roman" w:eastAsia="黑体"/>
          <w:sz w:val="24"/>
          <w:szCs w:val="24"/>
        </w:rPr>
        <w:t xml:space="preserve">响 应 </w:t>
      </w:r>
      <w:r>
        <w:rPr>
          <w:rFonts w:ascii="Times New Roman" w:hAnsi="Times New Roman" w:eastAsia="黑体"/>
          <w:sz w:val="24"/>
          <w:szCs w:val="24"/>
        </w:rPr>
        <w:t>函</w:t>
      </w:r>
      <w:bookmarkEnd w:id="592"/>
      <w:bookmarkEnd w:id="593"/>
      <w:bookmarkEnd w:id="594"/>
      <w:bookmarkEnd w:id="595"/>
      <w:bookmarkEnd w:id="596"/>
      <w:bookmarkEnd w:id="597"/>
      <w:bookmarkEnd w:id="598"/>
      <w:bookmarkEnd w:id="599"/>
      <w:bookmarkEnd w:id="600"/>
    </w:p>
    <w:p>
      <w:pPr>
        <w:spacing w:line="360" w:lineRule="auto"/>
        <w:jc w:val="center"/>
        <w:rPr>
          <w:b/>
          <w:sz w:val="36"/>
          <w:szCs w:val="36"/>
        </w:rPr>
      </w:pPr>
    </w:p>
    <w:p>
      <w:pPr>
        <w:spacing w:line="360" w:lineRule="auto"/>
        <w:ind w:firstLine="422" w:firstLineChars="200"/>
        <w:rPr>
          <w:b/>
          <w:szCs w:val="21"/>
        </w:rPr>
      </w:pPr>
      <w:r>
        <w:rPr>
          <w:b/>
          <w:szCs w:val="21"/>
        </w:rPr>
        <w:t>致：</w:t>
      </w:r>
      <w:r>
        <w:rPr>
          <w:rFonts w:hint="eastAsia"/>
          <w:b/>
          <w:szCs w:val="21"/>
        </w:rPr>
        <w:t>XX公司</w:t>
      </w:r>
    </w:p>
    <w:p>
      <w:pPr>
        <w:spacing w:line="360" w:lineRule="auto"/>
        <w:ind w:firstLine="420" w:firstLineChars="200"/>
        <w:contextualSpacing/>
        <w:rPr>
          <w:rFonts w:ascii="宋体" w:hAnsi="宋体"/>
          <w:szCs w:val="21"/>
        </w:rPr>
      </w:pPr>
      <w:r>
        <w:rPr>
          <w:rFonts w:ascii="宋体" w:hAnsi="宋体"/>
          <w:szCs w:val="21"/>
        </w:rPr>
        <w:t>1.我方已仔细研究了</w:t>
      </w:r>
      <w:r>
        <w:rPr>
          <w:rFonts w:hint="eastAsia" w:ascii="宋体" w:hAnsi="宋体"/>
          <w:szCs w:val="21"/>
          <w:u w:val="single"/>
        </w:rPr>
        <w:t xml:space="preserve">         （</w:t>
      </w:r>
      <w:r>
        <w:rPr>
          <w:rFonts w:hint="eastAsia" w:ascii="宋体" w:hAnsi="宋体"/>
          <w:szCs w:val="21"/>
        </w:rPr>
        <w:t>项目）</w:t>
      </w:r>
      <w:r>
        <w:rPr>
          <w:rFonts w:ascii="宋体" w:hAnsi="宋体"/>
          <w:szCs w:val="21"/>
        </w:rPr>
        <w:t>的</w:t>
      </w:r>
      <w:r>
        <w:rPr>
          <w:rFonts w:hint="eastAsia" w:ascii="宋体" w:hAnsi="宋体"/>
          <w:szCs w:val="21"/>
        </w:rPr>
        <w:t>采购文件</w:t>
      </w:r>
      <w:r>
        <w:rPr>
          <w:rFonts w:ascii="宋体" w:hAnsi="宋体"/>
          <w:szCs w:val="21"/>
        </w:rPr>
        <w:t>的全部内容，</w:t>
      </w:r>
      <w:r>
        <w:rPr>
          <w:rFonts w:hint="eastAsia" w:ascii="宋体" w:hAnsi="宋体"/>
          <w:szCs w:val="21"/>
        </w:rPr>
        <w:t>愿意以：不含税总价大写人民币</w:t>
      </w:r>
      <w:r>
        <w:rPr>
          <w:rFonts w:hint="eastAsia" w:ascii="宋体" w:hAnsi="宋体"/>
          <w:szCs w:val="21"/>
          <w:u w:val="single"/>
        </w:rPr>
        <w:t xml:space="preserve">      </w:t>
      </w:r>
      <w:r>
        <w:rPr>
          <w:rFonts w:hint="eastAsia" w:ascii="宋体" w:hAnsi="宋体"/>
          <w:szCs w:val="21"/>
        </w:rPr>
        <w:t>元整，￥：</w:t>
      </w:r>
      <w:r>
        <w:rPr>
          <w:rFonts w:hint="eastAsia" w:ascii="宋体" w:hAnsi="宋体"/>
          <w:szCs w:val="21"/>
          <w:u w:val="single"/>
        </w:rPr>
        <w:t xml:space="preserve">      </w:t>
      </w:r>
      <w:r>
        <w:rPr>
          <w:rFonts w:hint="eastAsia" w:ascii="宋体" w:hAnsi="宋体"/>
          <w:szCs w:val="21"/>
        </w:rPr>
        <w:t>元；含税总价大写人民币：</w:t>
      </w:r>
      <w:r>
        <w:rPr>
          <w:rFonts w:hint="eastAsia" w:ascii="宋体" w:hAnsi="宋体"/>
          <w:i/>
          <w:iCs/>
          <w:szCs w:val="21"/>
          <w:u w:val="single"/>
        </w:rPr>
        <w:t xml:space="preserve">      </w:t>
      </w:r>
      <w:r>
        <w:rPr>
          <w:rFonts w:hint="eastAsia" w:ascii="宋体" w:hAnsi="宋体"/>
          <w:szCs w:val="21"/>
        </w:rPr>
        <w:t xml:space="preserve"> 元整，￥：</w:t>
      </w:r>
      <w:r>
        <w:rPr>
          <w:rFonts w:hint="eastAsia" w:ascii="宋体" w:hAnsi="宋体"/>
          <w:szCs w:val="21"/>
          <w:u w:val="single"/>
        </w:rPr>
        <w:t xml:space="preserve">       </w:t>
      </w:r>
      <w:r>
        <w:rPr>
          <w:rFonts w:hint="eastAsia" w:ascii="宋体" w:hAnsi="宋体"/>
          <w:szCs w:val="21"/>
        </w:rPr>
        <w:t xml:space="preserve"> 元（说明含增值税及增值税专票税率），</w:t>
      </w:r>
      <w:r>
        <w:rPr>
          <w:rFonts w:ascii="宋体" w:hAnsi="宋体"/>
          <w:szCs w:val="21"/>
        </w:rPr>
        <w:t>的</w:t>
      </w:r>
      <w:r>
        <w:rPr>
          <w:rFonts w:hint="eastAsia" w:ascii="宋体" w:hAnsi="宋体"/>
          <w:szCs w:val="21"/>
        </w:rPr>
        <w:t>响应报价</w:t>
      </w:r>
      <w:r>
        <w:rPr>
          <w:rFonts w:ascii="宋体" w:hAnsi="宋体"/>
          <w:szCs w:val="21"/>
        </w:rPr>
        <w:t>并按合同及采购协议约定承担责任和义务，服务期限为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天，服务地点：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contextualSpacing/>
        <w:rPr>
          <w:rFonts w:ascii="宋体" w:hAnsi="宋体"/>
          <w:szCs w:val="21"/>
        </w:rPr>
      </w:pPr>
      <w:r>
        <w:rPr>
          <w:rFonts w:ascii="宋体" w:hAnsi="宋体"/>
          <w:szCs w:val="21"/>
        </w:rPr>
        <w:t>2.我方承诺在</w:t>
      </w:r>
      <w:r>
        <w:rPr>
          <w:rFonts w:hint="eastAsia" w:ascii="宋体" w:hAnsi="宋体"/>
          <w:szCs w:val="21"/>
        </w:rPr>
        <w:t>采购文件</w:t>
      </w:r>
      <w:r>
        <w:rPr>
          <w:rFonts w:ascii="宋体" w:hAnsi="宋体"/>
          <w:szCs w:val="21"/>
        </w:rPr>
        <w:t>规定的</w:t>
      </w:r>
      <w:r>
        <w:rPr>
          <w:rFonts w:hint="eastAsia" w:ascii="宋体" w:hAnsi="宋体"/>
          <w:szCs w:val="21"/>
        </w:rPr>
        <w:t>响应有效期</w:t>
      </w:r>
      <w:r>
        <w:rPr>
          <w:rFonts w:ascii="宋体" w:hAnsi="宋体"/>
          <w:szCs w:val="21"/>
        </w:rPr>
        <w:t>内不撤销</w:t>
      </w:r>
      <w:r>
        <w:rPr>
          <w:rFonts w:hint="eastAsia" w:ascii="宋体" w:hAnsi="宋体"/>
          <w:szCs w:val="21"/>
        </w:rPr>
        <w:t>响应文件</w:t>
      </w:r>
      <w:r>
        <w:rPr>
          <w:rFonts w:ascii="宋体" w:hAnsi="宋体"/>
          <w:szCs w:val="21"/>
        </w:rPr>
        <w:t>。</w:t>
      </w:r>
    </w:p>
    <w:p>
      <w:pPr>
        <w:spacing w:line="360" w:lineRule="auto"/>
        <w:ind w:firstLine="420" w:firstLineChars="200"/>
        <w:contextualSpacing/>
        <w:rPr>
          <w:rFonts w:ascii="宋体" w:hAnsi="宋体"/>
          <w:szCs w:val="21"/>
        </w:rPr>
      </w:pPr>
      <w:r>
        <w:rPr>
          <w:rFonts w:hint="eastAsia" w:ascii="宋体" w:hAnsi="宋体"/>
          <w:szCs w:val="21"/>
        </w:rPr>
        <w:t>3.</w:t>
      </w:r>
      <w:r>
        <w:rPr>
          <w:rFonts w:ascii="宋体" w:hAnsi="宋体"/>
          <w:szCs w:val="21"/>
        </w:rPr>
        <w:t>如我方</w:t>
      </w:r>
      <w:r>
        <w:rPr>
          <w:rFonts w:hint="eastAsia" w:ascii="宋体" w:hAnsi="宋体"/>
          <w:szCs w:val="21"/>
        </w:rPr>
        <w:t>成交</w:t>
      </w:r>
      <w:r>
        <w:rPr>
          <w:rFonts w:ascii="宋体" w:hAnsi="宋体"/>
          <w:szCs w:val="21"/>
        </w:rPr>
        <w:t>，我方承诺：</w:t>
      </w:r>
    </w:p>
    <w:p>
      <w:pPr>
        <w:spacing w:line="360" w:lineRule="auto"/>
        <w:ind w:firstLine="420" w:firstLineChars="200"/>
        <w:contextualSpacing/>
        <w:rPr>
          <w:rFonts w:ascii="宋体" w:hAnsi="宋体"/>
          <w:szCs w:val="21"/>
        </w:rPr>
      </w:pPr>
      <w:r>
        <w:rPr>
          <w:rFonts w:ascii="宋体" w:hAnsi="宋体"/>
          <w:szCs w:val="21"/>
        </w:rPr>
        <w:t>（1）在收到</w:t>
      </w:r>
      <w:r>
        <w:rPr>
          <w:rFonts w:hint="eastAsia" w:ascii="宋体" w:hAnsi="宋体"/>
          <w:szCs w:val="21"/>
        </w:rPr>
        <w:t>成交</w:t>
      </w:r>
      <w:r>
        <w:rPr>
          <w:rFonts w:ascii="宋体" w:hAnsi="宋体"/>
          <w:szCs w:val="21"/>
        </w:rPr>
        <w:t>通知书后，在</w:t>
      </w:r>
      <w:r>
        <w:rPr>
          <w:rFonts w:hint="eastAsia" w:ascii="宋体" w:hAnsi="宋体"/>
          <w:szCs w:val="21"/>
        </w:rPr>
        <w:t>成交</w:t>
      </w:r>
      <w:r>
        <w:rPr>
          <w:rFonts w:ascii="宋体" w:hAnsi="宋体"/>
          <w:szCs w:val="21"/>
        </w:rPr>
        <w:t>通知书规定的期限内与贵方签订合同及采购协议。</w:t>
      </w:r>
    </w:p>
    <w:p>
      <w:pPr>
        <w:spacing w:line="360" w:lineRule="auto"/>
        <w:ind w:firstLine="420" w:firstLineChars="200"/>
        <w:contextualSpacing/>
        <w:rPr>
          <w:rFonts w:ascii="宋体" w:hAnsi="宋体"/>
          <w:szCs w:val="21"/>
        </w:rPr>
      </w:pPr>
      <w:r>
        <w:rPr>
          <w:rFonts w:ascii="宋体" w:hAnsi="宋体"/>
          <w:szCs w:val="21"/>
        </w:rPr>
        <w:t>（2）在签订合同及采购协议时不向贵方提出附加条件。</w:t>
      </w:r>
    </w:p>
    <w:p>
      <w:pPr>
        <w:spacing w:line="360" w:lineRule="auto"/>
        <w:ind w:firstLine="420" w:firstLineChars="200"/>
        <w:contextualSpacing/>
        <w:rPr>
          <w:rFonts w:ascii="宋体" w:hAnsi="宋体"/>
          <w:szCs w:val="21"/>
        </w:rPr>
      </w:pPr>
      <w:r>
        <w:rPr>
          <w:rFonts w:ascii="宋体" w:hAnsi="宋体"/>
          <w:szCs w:val="21"/>
        </w:rPr>
        <w:t>（3）在合同及采购协议约定的期限内完成合同及采购协议规定的全部义务。</w:t>
      </w:r>
    </w:p>
    <w:p>
      <w:pPr>
        <w:spacing w:line="360" w:lineRule="auto"/>
        <w:ind w:firstLine="420" w:firstLineChars="200"/>
        <w:contextualSpacing/>
        <w:rPr>
          <w:rFonts w:ascii="宋体" w:hAnsi="宋体"/>
          <w:szCs w:val="21"/>
        </w:rPr>
      </w:pPr>
      <w:r>
        <w:rPr>
          <w:rFonts w:hint="eastAsia" w:ascii="宋体" w:hAnsi="宋体"/>
          <w:szCs w:val="21"/>
        </w:rPr>
        <w:t>4</w:t>
      </w:r>
      <w:r>
        <w:rPr>
          <w:rFonts w:ascii="宋体" w:hAnsi="宋体"/>
          <w:szCs w:val="21"/>
        </w:rPr>
        <w:t>.我方在此声明</w:t>
      </w:r>
      <w:r>
        <w:rPr>
          <w:rFonts w:hint="eastAsia" w:ascii="宋体" w:hAnsi="宋体"/>
          <w:szCs w:val="21"/>
        </w:rPr>
        <w:t>：</w:t>
      </w:r>
      <w:r>
        <w:rPr>
          <w:rFonts w:ascii="宋体" w:hAnsi="宋体"/>
          <w:szCs w:val="21"/>
        </w:rPr>
        <w:t>所递交的</w:t>
      </w:r>
      <w:r>
        <w:rPr>
          <w:rFonts w:hint="eastAsia" w:ascii="宋体" w:hAnsi="宋体"/>
          <w:szCs w:val="21"/>
        </w:rPr>
        <w:t>响应文件</w:t>
      </w:r>
      <w:r>
        <w:rPr>
          <w:rFonts w:ascii="宋体" w:hAnsi="宋体"/>
          <w:szCs w:val="21"/>
        </w:rPr>
        <w:t>及有关资料内容真实和准确，且不存在第二章“</w:t>
      </w:r>
      <w:r>
        <w:rPr>
          <w:rFonts w:hint="eastAsia" w:ascii="宋体" w:hAnsi="宋体"/>
          <w:szCs w:val="21"/>
        </w:rPr>
        <w:t>服务商</w:t>
      </w:r>
      <w:r>
        <w:rPr>
          <w:rFonts w:ascii="宋体" w:hAnsi="宋体"/>
          <w:szCs w:val="21"/>
        </w:rPr>
        <w:t>须知”第</w:t>
      </w:r>
      <w:r>
        <w:rPr>
          <w:rFonts w:hint="eastAsia" w:ascii="宋体" w:hAnsi="宋体"/>
          <w:szCs w:val="21"/>
        </w:rPr>
        <w:t>1.4.3</w:t>
      </w:r>
      <w:r>
        <w:rPr>
          <w:rFonts w:ascii="宋体" w:hAnsi="宋体"/>
          <w:szCs w:val="21"/>
        </w:rPr>
        <w:t>项规定的任何一种情形。</w:t>
      </w:r>
    </w:p>
    <w:p>
      <w:pPr>
        <w:spacing w:line="360" w:lineRule="auto"/>
        <w:ind w:firstLine="420" w:firstLineChars="200"/>
        <w:contextualSpacing/>
        <w:rPr>
          <w:szCs w:val="21"/>
        </w:rPr>
      </w:pPr>
    </w:p>
    <w:p>
      <w:pPr>
        <w:spacing w:line="360" w:lineRule="auto"/>
        <w:contextualSpacing/>
        <w:rPr>
          <w:szCs w:val="21"/>
        </w:rPr>
      </w:pPr>
    </w:p>
    <w:p>
      <w:pPr>
        <w:spacing w:line="360" w:lineRule="auto"/>
        <w:contextualSpacing/>
        <w:rPr>
          <w:szCs w:val="21"/>
        </w:rPr>
      </w:pPr>
    </w:p>
    <w:p>
      <w:pPr>
        <w:spacing w:line="360" w:lineRule="auto"/>
        <w:contextualSpacing/>
        <w:rPr>
          <w:szCs w:val="21"/>
        </w:rPr>
      </w:pPr>
    </w:p>
    <w:p>
      <w:pPr>
        <w:spacing w:line="360" w:lineRule="auto"/>
        <w:ind w:firstLine="420" w:firstLineChars="200"/>
        <w:contextualSpacing/>
        <w:rPr>
          <w:szCs w:val="21"/>
        </w:rPr>
      </w:pPr>
    </w:p>
    <w:p>
      <w:pPr>
        <w:spacing w:line="360" w:lineRule="auto"/>
        <w:ind w:firstLine="2730" w:firstLineChars="1300"/>
        <w:contextualSpacing/>
        <w:rPr>
          <w:szCs w:val="21"/>
        </w:rPr>
      </w:pPr>
      <w:r>
        <w:rPr>
          <w:rFonts w:hint="eastAsia"/>
          <w:szCs w:val="21"/>
        </w:rPr>
        <w:t>服务 商</w:t>
      </w:r>
      <w:r>
        <w:rPr>
          <w:szCs w:val="21"/>
        </w:rPr>
        <w:t>：</w:t>
      </w:r>
      <w:r>
        <w:rPr>
          <w:rFonts w:hint="eastAsia"/>
          <w:szCs w:val="21"/>
          <w:u w:val="single"/>
        </w:rPr>
        <w:t xml:space="preserve">                      </w:t>
      </w:r>
      <w:r>
        <w:rPr>
          <w:szCs w:val="21"/>
        </w:rPr>
        <w:t>（加盖单位公章）</w:t>
      </w:r>
    </w:p>
    <w:p>
      <w:pPr>
        <w:spacing w:line="360" w:lineRule="auto"/>
        <w:ind w:right="420" w:firstLine="2730" w:firstLineChars="1300"/>
        <w:contextualSpacing/>
        <w:rPr>
          <w:szCs w:val="21"/>
        </w:rPr>
      </w:pPr>
      <w:r>
        <w:rPr>
          <w:szCs w:val="21"/>
        </w:rPr>
        <w:t>法定代表人或其委托代理人：</w:t>
      </w:r>
      <w:r>
        <w:rPr>
          <w:rFonts w:hint="eastAsia"/>
          <w:szCs w:val="21"/>
          <w:u w:val="single"/>
        </w:rPr>
        <w:t xml:space="preserve">        </w:t>
      </w:r>
      <w:r>
        <w:rPr>
          <w:szCs w:val="21"/>
        </w:rPr>
        <w:t>（签字或盖章）</w:t>
      </w:r>
    </w:p>
    <w:p>
      <w:pPr>
        <w:spacing w:line="360" w:lineRule="auto"/>
        <w:ind w:right="420" w:firstLine="2730" w:firstLineChars="1300"/>
        <w:contextualSpacing/>
        <w:rPr>
          <w:szCs w:val="21"/>
        </w:rPr>
      </w:pPr>
      <w:r>
        <w:rPr>
          <w:szCs w:val="21"/>
        </w:rPr>
        <w:t xml:space="preserve">地 </w:t>
      </w:r>
      <w:r>
        <w:rPr>
          <w:rFonts w:hint="eastAsia"/>
          <w:szCs w:val="21"/>
        </w:rPr>
        <w:t xml:space="preserve">   </w:t>
      </w:r>
      <w:r>
        <w:rPr>
          <w:szCs w:val="21"/>
        </w:rPr>
        <w:t>址：</w:t>
      </w:r>
    </w:p>
    <w:p>
      <w:pPr>
        <w:spacing w:line="360" w:lineRule="auto"/>
        <w:ind w:firstLine="2730" w:firstLineChars="1300"/>
        <w:contextualSpacing/>
        <w:rPr>
          <w:szCs w:val="21"/>
        </w:rPr>
      </w:pPr>
      <w:r>
        <w:rPr>
          <w:szCs w:val="21"/>
        </w:rPr>
        <w:t xml:space="preserve">网 </w:t>
      </w:r>
      <w:r>
        <w:rPr>
          <w:rFonts w:hint="eastAsia"/>
          <w:szCs w:val="21"/>
        </w:rPr>
        <w:t xml:space="preserve">   </w:t>
      </w:r>
      <w:r>
        <w:rPr>
          <w:szCs w:val="21"/>
        </w:rPr>
        <w:t>址：</w:t>
      </w:r>
    </w:p>
    <w:p>
      <w:pPr>
        <w:spacing w:line="360" w:lineRule="auto"/>
        <w:ind w:firstLine="2730" w:firstLineChars="1300"/>
        <w:contextualSpacing/>
        <w:rPr>
          <w:szCs w:val="21"/>
        </w:rPr>
      </w:pPr>
      <w:r>
        <w:rPr>
          <w:szCs w:val="21"/>
        </w:rPr>
        <w:t>电</w:t>
      </w:r>
      <w:r>
        <w:rPr>
          <w:rFonts w:hint="eastAsia"/>
          <w:szCs w:val="21"/>
        </w:rPr>
        <w:t xml:space="preserve">   </w:t>
      </w:r>
      <w:r>
        <w:rPr>
          <w:szCs w:val="21"/>
        </w:rPr>
        <w:t xml:space="preserve"> 话：</w:t>
      </w:r>
    </w:p>
    <w:p>
      <w:pPr>
        <w:spacing w:line="360" w:lineRule="auto"/>
        <w:ind w:firstLine="2730" w:firstLineChars="1300"/>
        <w:contextualSpacing/>
        <w:rPr>
          <w:szCs w:val="21"/>
        </w:rPr>
      </w:pPr>
      <w:r>
        <w:rPr>
          <w:szCs w:val="21"/>
        </w:rPr>
        <w:t xml:space="preserve">传 </w:t>
      </w:r>
      <w:r>
        <w:rPr>
          <w:rFonts w:hint="eastAsia"/>
          <w:szCs w:val="21"/>
        </w:rPr>
        <w:t xml:space="preserve">   </w:t>
      </w:r>
      <w:r>
        <w:rPr>
          <w:szCs w:val="21"/>
        </w:rPr>
        <w:t>真：</w:t>
      </w:r>
    </w:p>
    <w:p>
      <w:pPr>
        <w:spacing w:line="360" w:lineRule="auto"/>
        <w:ind w:firstLine="2730" w:firstLineChars="1300"/>
        <w:contextualSpacing/>
        <w:rPr>
          <w:szCs w:val="21"/>
        </w:rPr>
      </w:pPr>
      <w:r>
        <w:rPr>
          <w:szCs w:val="21"/>
        </w:rPr>
        <w:t>邮政编码：</w:t>
      </w:r>
    </w:p>
    <w:p>
      <w:pPr>
        <w:spacing w:line="360" w:lineRule="auto"/>
        <w:ind w:firstLine="4830" w:firstLineChars="2300"/>
        <w:rPr>
          <w:sz w:val="24"/>
          <w:szCs w:val="24"/>
          <w:u w:val="single"/>
        </w:rPr>
      </w:pP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360" w:lineRule="auto"/>
        <w:rPr>
          <w:sz w:val="24"/>
          <w:szCs w:val="24"/>
          <w:u w:val="single"/>
        </w:rPr>
      </w:pPr>
    </w:p>
    <w:p>
      <w:pPr>
        <w:pStyle w:val="6"/>
      </w:pPr>
    </w:p>
    <w:p>
      <w:pPr>
        <w:pStyle w:val="5"/>
        <w:spacing w:before="0" w:after="0" w:line="360" w:lineRule="auto"/>
        <w:jc w:val="center"/>
        <w:rPr>
          <w:rFonts w:ascii="Times New Roman" w:hAnsi="Times New Roman" w:eastAsia="黑体"/>
          <w:sz w:val="24"/>
          <w:szCs w:val="24"/>
        </w:rPr>
      </w:pPr>
      <w:bookmarkStart w:id="601" w:name="_Toc16519"/>
      <w:bookmarkStart w:id="602" w:name="_Toc31143"/>
      <w:bookmarkStart w:id="603" w:name="_Toc28955"/>
      <w:r>
        <w:rPr>
          <w:rFonts w:hint="eastAsia" w:ascii="Times New Roman" w:hAnsi="Times New Roman" w:eastAsia="黑体"/>
          <w:sz w:val="24"/>
          <w:szCs w:val="24"/>
        </w:rPr>
        <w:t>二、法定代表人身份证明</w:t>
      </w:r>
      <w:bookmarkEnd w:id="601"/>
      <w:bookmarkEnd w:id="602"/>
      <w:bookmarkEnd w:id="603"/>
    </w:p>
    <w:p>
      <w:pPr>
        <w:spacing w:line="360" w:lineRule="auto"/>
        <w:ind w:firstLine="420" w:firstLineChars="200"/>
        <w:contextualSpacing/>
        <w:rPr>
          <w:rFonts w:ascii="宋体" w:hAnsi="宋体"/>
          <w:szCs w:val="21"/>
        </w:rPr>
      </w:pPr>
    </w:p>
    <w:p>
      <w:pPr>
        <w:spacing w:line="480" w:lineRule="auto"/>
        <w:ind w:firstLine="420" w:firstLineChars="200"/>
        <w:contextualSpacing/>
        <w:rPr>
          <w:rFonts w:ascii="宋体" w:hAnsi="宋体"/>
          <w:szCs w:val="21"/>
          <w:u w:val="single"/>
        </w:rPr>
      </w:pPr>
      <w:r>
        <w:rPr>
          <w:rFonts w:hint="eastAsia" w:ascii="宋体" w:hAnsi="宋体"/>
          <w:szCs w:val="21"/>
        </w:rPr>
        <w:t>服务商名称：</w:t>
      </w:r>
      <w:r>
        <w:rPr>
          <w:rFonts w:hint="eastAsia" w:ascii="宋体" w:hAnsi="宋体"/>
          <w:szCs w:val="21"/>
          <w:u w:val="single"/>
        </w:rPr>
        <w:t xml:space="preserve">                             </w:t>
      </w:r>
    </w:p>
    <w:p>
      <w:pPr>
        <w:spacing w:line="480" w:lineRule="auto"/>
        <w:ind w:firstLine="420" w:firstLineChars="200"/>
        <w:contextualSpacing/>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w:t>
      </w:r>
    </w:p>
    <w:p>
      <w:pPr>
        <w:spacing w:line="480" w:lineRule="auto"/>
        <w:ind w:firstLine="420" w:firstLineChars="200"/>
        <w:contextualSpacing/>
        <w:rPr>
          <w:rFonts w:ascii="宋体" w:hAnsi="宋体"/>
          <w:szCs w:val="21"/>
        </w:rPr>
      </w:pPr>
      <w:r>
        <w:rPr>
          <w:rFonts w:hint="eastAsia" w:ascii="宋体" w:hAnsi="宋体"/>
          <w:szCs w:val="21"/>
        </w:rPr>
        <w:t>系</w:t>
      </w:r>
      <w:r>
        <w:rPr>
          <w:rFonts w:hint="eastAsia" w:ascii="宋体" w:hAnsi="宋体"/>
          <w:szCs w:val="21"/>
          <w:u w:val="single"/>
        </w:rPr>
        <w:t xml:space="preserve">     （服务商名称）     </w:t>
      </w:r>
      <w:r>
        <w:rPr>
          <w:rFonts w:hint="eastAsia" w:ascii="宋体" w:hAnsi="宋体"/>
          <w:szCs w:val="21"/>
        </w:rPr>
        <w:t>的法定代表人。</w:t>
      </w:r>
    </w:p>
    <w:p>
      <w:pPr>
        <w:spacing w:line="480" w:lineRule="auto"/>
        <w:ind w:firstLine="420" w:firstLineChars="200"/>
        <w:contextualSpacing/>
        <w:rPr>
          <w:rFonts w:ascii="宋体" w:hAnsi="宋体"/>
          <w:szCs w:val="21"/>
        </w:rPr>
      </w:pPr>
      <w:r>
        <w:rPr>
          <w:rFonts w:hint="eastAsia" w:ascii="宋体" w:hAnsi="宋体"/>
          <w:szCs w:val="21"/>
        </w:rPr>
        <w:t>特此证明。</w:t>
      </w:r>
    </w:p>
    <w:p>
      <w:pPr>
        <w:spacing w:line="360" w:lineRule="auto"/>
        <w:ind w:firstLine="420" w:firstLineChars="200"/>
        <w:contextualSpacing/>
        <w:rPr>
          <w:rFonts w:ascii="宋体" w:hAnsi="宋体"/>
          <w:szCs w:val="21"/>
        </w:rPr>
      </w:pPr>
    </w:p>
    <w:p>
      <w:pPr>
        <w:spacing w:line="360" w:lineRule="auto"/>
        <w:contextualSpacing/>
        <w:rPr>
          <w:rFonts w:ascii="宋体" w:hAnsi="宋体"/>
          <w:szCs w:val="21"/>
        </w:rPr>
      </w:pPr>
    </w:p>
    <w:p>
      <w:pPr>
        <w:spacing w:line="360" w:lineRule="auto"/>
        <w:contextualSpacing/>
        <w:rPr>
          <w:rFonts w:ascii="宋体" w:hAnsi="宋体"/>
          <w:szCs w:val="21"/>
        </w:rPr>
      </w:pPr>
    </w:p>
    <w:p>
      <w:pPr>
        <w:spacing w:line="480" w:lineRule="auto"/>
        <w:ind w:firstLine="420" w:firstLineChars="200"/>
        <w:contextualSpacing/>
        <w:rPr>
          <w:rFonts w:ascii="宋体" w:hAnsi="宋体"/>
          <w:szCs w:val="21"/>
        </w:rPr>
      </w:pPr>
      <w:r>
        <w:rPr>
          <w:rFonts w:hint="eastAsia" w:ascii="宋体" w:hAnsi="宋体"/>
          <w:szCs w:val="21"/>
        </w:rPr>
        <w:t xml:space="preserve">附：法定代表人身份证复印件。 </w:t>
      </w:r>
    </w:p>
    <w:p>
      <w:pPr>
        <w:spacing w:line="360" w:lineRule="auto"/>
        <w:contextualSpacing/>
        <w:rPr>
          <w:rFonts w:ascii="宋体" w:hAnsi="宋体"/>
          <w:szCs w:val="21"/>
        </w:rPr>
      </w:pPr>
    </w:p>
    <w:p>
      <w:pPr>
        <w:spacing w:line="360" w:lineRule="auto"/>
        <w:contextualSpacing/>
        <w:rPr>
          <w:rFonts w:ascii="宋体" w:hAnsi="宋体"/>
          <w:szCs w:val="21"/>
        </w:rPr>
      </w:pPr>
    </w:p>
    <w:p>
      <w:pPr>
        <w:spacing w:line="360" w:lineRule="auto"/>
        <w:contextualSpacing/>
        <w:rPr>
          <w:rFonts w:ascii="宋体" w:hAnsi="宋体"/>
          <w:szCs w:val="21"/>
        </w:rPr>
      </w:pPr>
      <w:r>
        <w:rPr>
          <w:rFonts w:ascii="宋体" w:hAnsi="宋体"/>
          <w:szCs w:val="21"/>
        </w:rPr>
        <w:pict>
          <v:rect id="矩形 8" o:spid="_x0000_s2051" o:spt="1" style="position:absolute;left:0pt;margin-left:247.3pt;margin-top:2.8pt;height:89.6pt;width:180.8pt;z-index:251659264;mso-width-relative:page;mso-height-relative:page;" filled="f" o:preferrelative="t" coordsize="21600,21600">
            <v:path/>
            <v:fill on="f" focussize="0,0"/>
            <v:stroke miterlimit="2"/>
            <v:imagedata o:title=""/>
            <o:lock v:ext="edit"/>
          </v:rect>
        </w:pict>
      </w:r>
      <w:r>
        <w:rPr>
          <w:rFonts w:ascii="宋体" w:hAnsi="宋体"/>
          <w:szCs w:val="21"/>
        </w:rPr>
        <w:pict>
          <v:rect id="矩形 7" o:spid="_x0000_s2052" o:spt="1" style="position:absolute;left:0pt;margin-left:13.55pt;margin-top:2.8pt;height:89.6pt;width:180.8pt;z-index:251659264;mso-width-relative:page;mso-height-relative:page;" filled="f" o:preferrelative="t" coordsize="21600,21600">
            <v:path/>
            <v:fill on="f" focussize="0,0"/>
            <v:stroke miterlimit="2"/>
            <v:imagedata o:title=""/>
            <o:lock v:ext="edit"/>
          </v:rect>
        </w:pict>
      </w:r>
    </w:p>
    <w:p>
      <w:pPr>
        <w:spacing w:line="360" w:lineRule="auto"/>
        <w:contextualSpacing/>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身份证正面（复印件）                        身份证反面（复印件）</w:t>
      </w:r>
    </w:p>
    <w:p>
      <w:pPr>
        <w:spacing w:line="360" w:lineRule="auto"/>
        <w:contextualSpacing/>
        <w:rPr>
          <w:rFonts w:ascii="宋体" w:hAnsi="宋体"/>
          <w:szCs w:val="21"/>
        </w:rPr>
      </w:pPr>
    </w:p>
    <w:p>
      <w:pPr>
        <w:spacing w:line="360" w:lineRule="auto"/>
        <w:contextualSpacing/>
        <w:rPr>
          <w:rFonts w:ascii="宋体" w:hAnsi="宋体"/>
          <w:szCs w:val="21"/>
        </w:rPr>
      </w:pPr>
    </w:p>
    <w:p>
      <w:pPr>
        <w:spacing w:line="360" w:lineRule="auto"/>
        <w:contextualSpacing/>
        <w:rPr>
          <w:rFonts w:ascii="宋体" w:hAnsi="宋体"/>
          <w:szCs w:val="21"/>
        </w:rPr>
      </w:pPr>
    </w:p>
    <w:p>
      <w:pPr>
        <w:spacing w:line="360" w:lineRule="auto"/>
        <w:contextualSpacing/>
        <w:rPr>
          <w:rFonts w:ascii="宋体" w:hAnsi="宋体"/>
          <w:szCs w:val="21"/>
        </w:rPr>
      </w:pPr>
    </w:p>
    <w:p>
      <w:pPr>
        <w:spacing w:line="360" w:lineRule="auto"/>
        <w:ind w:firstLine="420" w:firstLineChars="200"/>
        <w:contextualSpacing/>
        <w:rPr>
          <w:rFonts w:ascii="宋体" w:hAnsi="宋体"/>
          <w:szCs w:val="21"/>
        </w:rPr>
      </w:pPr>
      <w:r>
        <w:rPr>
          <w:rFonts w:hint="eastAsia" w:ascii="宋体" w:hAnsi="宋体"/>
          <w:szCs w:val="21"/>
        </w:rPr>
        <w:t>注：本身份证明须由服务商加盖单位公章。</w:t>
      </w:r>
    </w:p>
    <w:p>
      <w:pPr>
        <w:spacing w:line="360" w:lineRule="auto"/>
        <w:ind w:right="420" w:firstLine="5040" w:firstLineChars="2400"/>
        <w:contextualSpacing/>
        <w:rPr>
          <w:rFonts w:ascii="宋体" w:hAnsi="宋体"/>
          <w:szCs w:val="21"/>
        </w:rPr>
      </w:pPr>
    </w:p>
    <w:p>
      <w:pPr>
        <w:spacing w:line="360" w:lineRule="auto"/>
        <w:ind w:right="420" w:firstLine="5040" w:firstLineChars="2400"/>
        <w:contextualSpacing/>
        <w:rPr>
          <w:rFonts w:ascii="宋体" w:hAnsi="宋体"/>
          <w:szCs w:val="21"/>
        </w:rPr>
      </w:pPr>
    </w:p>
    <w:p>
      <w:pPr>
        <w:spacing w:line="360" w:lineRule="auto"/>
        <w:ind w:right="420" w:firstLine="5040" w:firstLineChars="2400"/>
        <w:contextualSpacing/>
        <w:rPr>
          <w:rFonts w:ascii="宋体" w:hAnsi="宋体"/>
          <w:szCs w:val="21"/>
        </w:rPr>
      </w:pPr>
    </w:p>
    <w:p>
      <w:pPr>
        <w:spacing w:line="360" w:lineRule="auto"/>
        <w:ind w:right="420" w:firstLine="4935" w:firstLineChars="2350"/>
        <w:contextualSpacing/>
        <w:rPr>
          <w:rFonts w:ascii="宋体" w:hAnsi="宋体"/>
          <w:szCs w:val="21"/>
        </w:rPr>
      </w:pPr>
      <w:r>
        <w:rPr>
          <w:rFonts w:hint="eastAsia" w:ascii="宋体" w:hAnsi="宋体"/>
          <w:szCs w:val="21"/>
        </w:rPr>
        <w:t>服务商：</w:t>
      </w:r>
      <w:r>
        <w:rPr>
          <w:rFonts w:hint="eastAsia" w:ascii="宋体" w:hAnsi="宋体"/>
          <w:szCs w:val="21"/>
          <w:u w:val="single"/>
        </w:rPr>
        <w:t xml:space="preserve">              </w:t>
      </w:r>
      <w:r>
        <w:rPr>
          <w:rFonts w:hint="eastAsia" w:ascii="宋体" w:hAnsi="宋体"/>
          <w:szCs w:val="21"/>
        </w:rPr>
        <w:t>（加盖单位公章）</w:t>
      </w:r>
    </w:p>
    <w:p>
      <w:pPr>
        <w:spacing w:line="360" w:lineRule="auto"/>
        <w:ind w:right="420" w:firstLine="5670" w:firstLineChars="2700"/>
        <w:contextualSpacing/>
        <w:rPr>
          <w:rFonts w:ascii="宋体" w:hAnsi="宋体"/>
          <w:szCs w:val="21"/>
        </w:rPr>
        <w:sectPr>
          <w:pgSz w:w="11905" w:h="16838"/>
          <w:pgMar w:top="1417" w:right="1417" w:bottom="1417" w:left="1417" w:header="992" w:footer="992" w:gutter="0"/>
          <w:cols w:space="720" w:num="1"/>
          <w:docGrid w:type="lines" w:linePitch="318" w:charSpace="0"/>
        </w:sect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spacing w:before="0" w:after="0" w:line="360" w:lineRule="auto"/>
        <w:jc w:val="center"/>
        <w:rPr>
          <w:rFonts w:ascii="Times New Roman" w:hAnsi="Times New Roman" w:eastAsia="黑体"/>
          <w:sz w:val="24"/>
          <w:szCs w:val="24"/>
        </w:rPr>
      </w:pPr>
      <w:bookmarkStart w:id="604" w:name="_Toc499764355"/>
      <w:bookmarkStart w:id="605" w:name="_Toc496800224"/>
      <w:bookmarkStart w:id="606" w:name="_Toc496800144"/>
      <w:bookmarkStart w:id="607" w:name="_Toc496797475"/>
      <w:bookmarkStart w:id="608" w:name="_Toc2374"/>
      <w:bookmarkStart w:id="609" w:name="_Toc21769"/>
      <w:bookmarkStart w:id="610" w:name="_Toc496702875"/>
      <w:bookmarkStart w:id="611" w:name="_Toc496800174"/>
      <w:bookmarkStart w:id="612" w:name="_Toc496818591"/>
      <w:bookmarkStart w:id="613" w:name="_Toc720"/>
      <w:bookmarkStart w:id="614" w:name="_Toc496797515"/>
      <w:r>
        <w:rPr>
          <w:rFonts w:hint="eastAsia" w:ascii="Times New Roman" w:hAnsi="Times New Roman" w:eastAsia="黑体"/>
          <w:sz w:val="24"/>
          <w:szCs w:val="24"/>
        </w:rPr>
        <w:t>三、法定代表人授权委托书</w:t>
      </w:r>
      <w:bookmarkEnd w:id="604"/>
      <w:bookmarkEnd w:id="605"/>
      <w:bookmarkEnd w:id="606"/>
      <w:bookmarkEnd w:id="607"/>
      <w:bookmarkEnd w:id="608"/>
      <w:bookmarkEnd w:id="609"/>
      <w:bookmarkEnd w:id="610"/>
      <w:bookmarkEnd w:id="611"/>
      <w:bookmarkEnd w:id="612"/>
      <w:bookmarkEnd w:id="613"/>
      <w:bookmarkEnd w:id="614"/>
    </w:p>
    <w:p>
      <w:pPr>
        <w:spacing w:line="360" w:lineRule="auto"/>
      </w:pPr>
    </w:p>
    <w:p>
      <w:pPr>
        <w:spacing w:line="480" w:lineRule="auto"/>
        <w:ind w:firstLine="420" w:firstLineChars="200"/>
        <w:contextualSpacing/>
        <w:rPr>
          <w:rFonts w:ascii="宋体" w:hAnsi="宋体"/>
          <w:szCs w:val="21"/>
        </w:rPr>
      </w:pPr>
      <w:r>
        <w:rPr>
          <w:rFonts w:hint="eastAsia" w:ascii="宋体" w:hAnsi="宋体"/>
          <w:szCs w:val="21"/>
        </w:rPr>
        <w:t>本人</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（服务商名称）  </w:t>
      </w:r>
      <w:r>
        <w:rPr>
          <w:rFonts w:hint="eastAsia" w:ascii="宋体" w:hAnsi="宋体"/>
          <w:szCs w:val="21"/>
        </w:rPr>
        <w:t>的法定代表人，现委托</w:t>
      </w:r>
      <w:r>
        <w:rPr>
          <w:rFonts w:hint="eastAsia" w:ascii="宋体" w:hAnsi="宋体"/>
          <w:szCs w:val="21"/>
          <w:u w:val="single"/>
        </w:rPr>
        <w:t xml:space="preserve">  （姓名）  </w:t>
      </w:r>
      <w:r>
        <w:rPr>
          <w:rFonts w:hint="eastAsia" w:ascii="宋体" w:hAnsi="宋体"/>
          <w:szCs w:val="21"/>
        </w:rPr>
        <w:t>为我方代理人。代理人根据授权，以我方名义签署、澄清确认、递交、撤回、修改</w:t>
      </w:r>
      <w:r>
        <w:rPr>
          <w:rFonts w:hint="eastAsia" w:ascii="宋体" w:hAnsi="宋体"/>
          <w:szCs w:val="21"/>
          <w:u w:val="single"/>
        </w:rPr>
        <w:t xml:space="preserve">  （项目名称）  </w:t>
      </w:r>
      <w:r>
        <w:rPr>
          <w:rFonts w:hint="eastAsia" w:ascii="宋体" w:hAnsi="宋体"/>
          <w:szCs w:val="21"/>
        </w:rPr>
        <w:t>采购项目响应文件、签订长期协议和处理有关事宜，其法律后果由我方承担。</w:t>
      </w:r>
    </w:p>
    <w:p>
      <w:pPr>
        <w:spacing w:line="480" w:lineRule="auto"/>
        <w:ind w:firstLine="420" w:firstLineChars="200"/>
        <w:contextualSpacing/>
        <w:rPr>
          <w:rFonts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pPr>
        <w:spacing w:line="480" w:lineRule="auto"/>
        <w:ind w:firstLine="420" w:firstLineChars="200"/>
        <w:contextualSpacing/>
        <w:rPr>
          <w:rFonts w:ascii="宋体" w:hAnsi="宋体"/>
          <w:szCs w:val="21"/>
        </w:rPr>
      </w:pPr>
      <w:r>
        <w:rPr>
          <w:rFonts w:hint="eastAsia" w:ascii="宋体" w:hAnsi="宋体"/>
          <w:szCs w:val="21"/>
        </w:rPr>
        <w:t>代理人无转委托权。</w:t>
      </w:r>
    </w:p>
    <w:p>
      <w:pPr>
        <w:spacing w:line="480" w:lineRule="auto"/>
        <w:ind w:firstLine="420" w:firstLineChars="200"/>
        <w:contextualSpacing/>
        <w:rPr>
          <w:rFonts w:ascii="宋体" w:hAnsi="宋体"/>
          <w:szCs w:val="21"/>
        </w:rPr>
      </w:pPr>
      <w:r>
        <w:rPr>
          <w:rFonts w:hint="eastAsia" w:ascii="宋体" w:hAnsi="宋体"/>
          <w:szCs w:val="21"/>
        </w:rPr>
        <w:t>附：法定代表人身份证复印件及委托代理人身份证复印件</w:t>
      </w:r>
    </w:p>
    <w:p>
      <w:pPr>
        <w:spacing w:line="360" w:lineRule="auto"/>
        <w:contextualSpacing/>
        <w:rPr>
          <w:rFonts w:ascii="宋体" w:hAnsi="宋体"/>
          <w:szCs w:val="21"/>
        </w:rPr>
      </w:pPr>
      <w:r>
        <w:rPr>
          <w:rFonts w:ascii="宋体" w:hAnsi="宋体"/>
          <w:szCs w:val="21"/>
        </w:rPr>
        <w:pict>
          <v:rect id="矩形 12" o:spid="_x0000_s2053" o:spt="1" style="position:absolute;left:0pt;margin-left:259.3pt;margin-top:9.15pt;height:89.6pt;width:180.8pt;z-index:251659264;mso-width-relative:page;mso-height-relative:page;" filled="f" o:preferrelative="t" coordsize="21600,21600">
            <v:path/>
            <v:fill on="f" focussize="0,0"/>
            <v:stroke miterlimit="2"/>
            <v:imagedata o:title=""/>
            <o:lock v:ext="edit"/>
          </v:rect>
        </w:pict>
      </w:r>
      <w:r>
        <w:rPr>
          <w:rFonts w:ascii="宋体" w:hAnsi="宋体"/>
          <w:szCs w:val="21"/>
        </w:rPr>
        <w:pict>
          <v:rect id="矩形 11" o:spid="_x0000_s2054" o:spt="1" style="position:absolute;left:0pt;margin-left:25.55pt;margin-top:9.15pt;height:89.6pt;width:180.8pt;z-index:251659264;mso-width-relative:page;mso-height-relative:page;" filled="f" o:preferrelative="t" coordsize="21600,21600">
            <v:path/>
            <v:fill on="f" focussize="0,0"/>
            <v:stroke miterlimit="2"/>
            <v:imagedata o:title=""/>
            <o:lock v:ext="edit"/>
          </v:rect>
        </w:pict>
      </w:r>
    </w:p>
    <w:p>
      <w:pPr>
        <w:tabs>
          <w:tab w:val="left" w:pos="2119"/>
          <w:tab w:val="left" w:pos="6643"/>
        </w:tabs>
        <w:spacing w:line="360" w:lineRule="auto"/>
        <w:contextualSpacing/>
        <w:rPr>
          <w:rFonts w:ascii="宋体" w:hAnsi="宋体"/>
          <w:szCs w:val="21"/>
        </w:rPr>
      </w:pPr>
    </w:p>
    <w:p>
      <w:pPr>
        <w:tabs>
          <w:tab w:val="left" w:pos="2119"/>
          <w:tab w:val="left" w:pos="6643"/>
        </w:tabs>
        <w:spacing w:line="360" w:lineRule="auto"/>
        <w:ind w:firstLine="840" w:firstLineChars="400"/>
        <w:contextualSpacing/>
        <w:rPr>
          <w:rFonts w:ascii="宋体" w:hAnsi="宋体"/>
          <w:szCs w:val="21"/>
        </w:rPr>
      </w:pPr>
      <w:r>
        <w:rPr>
          <w:rFonts w:hint="eastAsia" w:ascii="宋体" w:hAnsi="宋体"/>
          <w:szCs w:val="21"/>
        </w:rPr>
        <w:t>法定代表人身份证正面（复印件）               法定代表人身份证反面（复印件）</w:t>
      </w:r>
    </w:p>
    <w:p>
      <w:pPr>
        <w:spacing w:line="360" w:lineRule="auto"/>
        <w:contextualSpacing/>
        <w:rPr>
          <w:rFonts w:ascii="宋体" w:hAnsi="宋体"/>
          <w:szCs w:val="21"/>
        </w:rPr>
      </w:pPr>
    </w:p>
    <w:p>
      <w:pPr>
        <w:spacing w:line="360" w:lineRule="auto"/>
        <w:contextualSpacing/>
        <w:rPr>
          <w:rFonts w:ascii="宋体" w:hAnsi="宋体"/>
          <w:szCs w:val="21"/>
        </w:rPr>
      </w:pPr>
    </w:p>
    <w:p>
      <w:pPr>
        <w:spacing w:line="360" w:lineRule="auto"/>
        <w:contextualSpacing/>
        <w:rPr>
          <w:rFonts w:ascii="宋体" w:hAnsi="宋体"/>
          <w:szCs w:val="21"/>
        </w:rPr>
      </w:pPr>
      <w:r>
        <w:rPr>
          <w:rFonts w:ascii="宋体" w:hAnsi="宋体"/>
          <w:szCs w:val="21"/>
        </w:rPr>
        <w:pict>
          <v:rect id="矩形 10" o:spid="_x0000_s2055" o:spt="1" style="position:absolute;left:0pt;margin-left:259.3pt;margin-top:17.1pt;height:94.05pt;width:180.8pt;z-index:251659264;mso-width-relative:page;mso-height-relative:page;" filled="f" o:preferrelative="t" coordsize="21600,21600">
            <v:path/>
            <v:fill on="f" focussize="0,0"/>
            <v:stroke miterlimit="2"/>
            <v:imagedata o:title=""/>
            <o:lock v:ext="edit"/>
          </v:rect>
        </w:pict>
      </w:r>
      <w:r>
        <w:rPr>
          <w:rFonts w:ascii="宋体" w:hAnsi="宋体"/>
          <w:szCs w:val="21"/>
        </w:rPr>
        <w:pict>
          <v:rect id="矩形 9" o:spid="_x0000_s2056" o:spt="1" style="position:absolute;left:0pt;margin-left:25.55pt;margin-top:17.15pt;height:94pt;width:180.8pt;z-index:251659264;mso-width-relative:page;mso-height-relative:page;" filled="f" o:preferrelative="t" coordsize="21600,21600">
            <v:path/>
            <v:fill on="f" focussize="0,0"/>
            <v:stroke miterlimit="2"/>
            <v:imagedata o:title=""/>
            <o:lock v:ext="edit"/>
          </v:rect>
        </w:pict>
      </w:r>
    </w:p>
    <w:p>
      <w:pPr>
        <w:spacing w:line="360" w:lineRule="auto"/>
        <w:contextualSpacing/>
        <w:rPr>
          <w:rFonts w:ascii="宋体" w:hAnsi="宋体"/>
          <w:szCs w:val="21"/>
        </w:rPr>
      </w:pPr>
    </w:p>
    <w:p>
      <w:pPr>
        <w:spacing w:line="360" w:lineRule="auto"/>
        <w:contextualSpacing/>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委托代理人身份证正面（复印件）               委托代理人身份证反面（复印件）</w:t>
      </w:r>
    </w:p>
    <w:p>
      <w:pPr>
        <w:spacing w:line="360" w:lineRule="auto"/>
        <w:contextualSpacing/>
        <w:rPr>
          <w:rFonts w:ascii="宋体" w:hAnsi="宋体"/>
          <w:szCs w:val="21"/>
        </w:rPr>
      </w:pPr>
    </w:p>
    <w:p>
      <w:pPr>
        <w:spacing w:line="360" w:lineRule="auto"/>
        <w:ind w:firstLine="420" w:firstLineChars="200"/>
        <w:contextualSpacing/>
        <w:rPr>
          <w:rFonts w:ascii="宋体" w:hAnsi="宋体"/>
          <w:szCs w:val="21"/>
        </w:rPr>
      </w:pPr>
      <w:r>
        <w:rPr>
          <w:rFonts w:hint="eastAsia" w:ascii="宋体" w:hAnsi="宋体"/>
          <w:szCs w:val="21"/>
        </w:rPr>
        <w:t>注：本授权委托书须由服务商加盖单位公章，并由其法定代表人签字或盖章和委托代理人签字或盖章。</w:t>
      </w:r>
    </w:p>
    <w:p>
      <w:pPr>
        <w:spacing w:line="360" w:lineRule="auto"/>
        <w:contextualSpacing/>
        <w:jc w:val="right"/>
        <w:rPr>
          <w:rFonts w:ascii="宋体" w:hAnsi="宋体"/>
          <w:szCs w:val="21"/>
        </w:rPr>
      </w:pPr>
    </w:p>
    <w:p>
      <w:pPr>
        <w:spacing w:line="360" w:lineRule="auto"/>
        <w:ind w:right="105" w:firstLine="2520" w:firstLineChars="1200"/>
        <w:contextualSpacing/>
        <w:jc w:val="left"/>
        <w:rPr>
          <w:rFonts w:ascii="宋体" w:hAnsi="宋体"/>
          <w:szCs w:val="21"/>
        </w:rPr>
      </w:pPr>
      <w:r>
        <w:rPr>
          <w:rFonts w:hint="eastAsia" w:ascii="宋体" w:hAnsi="宋体"/>
          <w:szCs w:val="21"/>
        </w:rPr>
        <w:t>服务商：</w:t>
      </w:r>
      <w:r>
        <w:rPr>
          <w:rFonts w:hint="eastAsia" w:ascii="宋体" w:hAnsi="宋体"/>
          <w:szCs w:val="21"/>
          <w:u w:val="single"/>
        </w:rPr>
        <w:t xml:space="preserve">                        </w:t>
      </w:r>
      <w:r>
        <w:rPr>
          <w:rFonts w:hint="eastAsia" w:ascii="宋体" w:hAnsi="宋体"/>
          <w:szCs w:val="21"/>
        </w:rPr>
        <w:t>（加盖单位章）</w:t>
      </w:r>
    </w:p>
    <w:p>
      <w:pPr>
        <w:spacing w:line="360" w:lineRule="auto"/>
        <w:ind w:right="105" w:firstLine="2520" w:firstLineChars="1200"/>
        <w:contextualSpacing/>
        <w:jc w:val="left"/>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360" w:lineRule="auto"/>
        <w:ind w:firstLine="2520" w:firstLineChars="1200"/>
        <w:contextualSpacing/>
        <w:jc w:val="left"/>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2520" w:firstLineChars="1200"/>
        <w:contextualSpacing/>
        <w:jc w:val="left"/>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（签字或盖章）</w:t>
      </w:r>
    </w:p>
    <w:p>
      <w:pPr>
        <w:spacing w:line="360" w:lineRule="auto"/>
        <w:ind w:firstLine="2520" w:firstLineChars="1200"/>
        <w:contextualSpacing/>
        <w:jc w:val="left"/>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right="420" w:firstLine="3570" w:firstLineChars="1700"/>
        <w:contextualSpacing/>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Start w:id="615" w:name="_Toc496797477"/>
      <w:bookmarkStart w:id="616" w:name="_Toc496818593"/>
      <w:bookmarkStart w:id="617" w:name="_Toc496800146"/>
      <w:bookmarkStart w:id="618" w:name="_Toc496800226"/>
      <w:bookmarkStart w:id="619" w:name="_Toc496800176"/>
      <w:bookmarkStart w:id="620" w:name="_Toc496702877"/>
      <w:bookmarkStart w:id="621" w:name="_Toc496797517"/>
    </w:p>
    <w:p>
      <w:pPr>
        <w:pStyle w:val="5"/>
        <w:spacing w:before="0" w:after="0" w:line="360" w:lineRule="auto"/>
        <w:jc w:val="center"/>
        <w:rPr>
          <w:rFonts w:ascii="Times New Roman" w:hAnsi="Times New Roman" w:eastAsia="黑体"/>
          <w:sz w:val="24"/>
          <w:szCs w:val="24"/>
        </w:rPr>
      </w:pPr>
      <w:r>
        <w:rPr>
          <w:rFonts w:hint="eastAsia" w:ascii="Times New Roman" w:hAnsi="Times New Roman" w:eastAsia="黑体"/>
          <w:sz w:val="24"/>
          <w:szCs w:val="24"/>
        </w:rPr>
        <w:t>四、价格清单</w:t>
      </w:r>
    </w:p>
    <w:p>
      <w:pPr>
        <w:pStyle w:val="6"/>
        <w:rPr>
          <w:rFonts w:eastAsia="黑体"/>
          <w:szCs w:val="24"/>
        </w:rPr>
      </w:pPr>
    </w:p>
    <w:p>
      <w:pPr>
        <w:widowControl/>
        <w:adjustRightInd w:val="0"/>
        <w:snapToGrid w:val="0"/>
        <w:spacing w:beforeLines="50" w:afterLines="50" w:line="360" w:lineRule="auto"/>
        <w:jc w:val="center"/>
        <w:rPr>
          <w:rFonts w:ascii="宋体" w:hAnsi="宋体" w:cs="宋体"/>
          <w:b/>
          <w:sz w:val="24"/>
          <w:szCs w:val="24"/>
        </w:rPr>
      </w:pPr>
      <w:r>
        <w:rPr>
          <w:rFonts w:hint="eastAsia" w:ascii="宋体" w:hAnsi="宋体" w:cs="宋体"/>
          <w:b/>
          <w:sz w:val="24"/>
          <w:szCs w:val="24"/>
        </w:rPr>
        <w:t>编制说明</w:t>
      </w:r>
    </w:p>
    <w:p>
      <w:pPr>
        <w:pStyle w:val="26"/>
        <w:spacing w:after="0" w:line="360" w:lineRule="auto"/>
        <w:ind w:firstLine="420" w:firstLineChars="200"/>
        <w:rPr>
          <w:rFonts w:ascii="宋体" w:hAnsi="宋体" w:cs="宋体"/>
          <w:szCs w:val="21"/>
        </w:rPr>
      </w:pPr>
      <w:r>
        <w:rPr>
          <w:rFonts w:hint="eastAsia" w:ascii="宋体" w:hAnsi="宋体" w:cs="宋体"/>
          <w:szCs w:val="21"/>
        </w:rPr>
        <w:t>（1）当分项价格之和与合计价格不相等时，以分项价格为准。如有优惠条件，优惠条件要在分项价格中体现。</w:t>
      </w:r>
    </w:p>
    <w:p>
      <w:pPr>
        <w:pStyle w:val="26"/>
        <w:spacing w:after="0" w:line="360" w:lineRule="auto"/>
        <w:ind w:firstLine="420" w:firstLineChars="200"/>
        <w:rPr>
          <w:rFonts w:ascii="宋体" w:hAnsi="宋体" w:cs="宋体"/>
          <w:szCs w:val="21"/>
        </w:rPr>
      </w:pPr>
      <w:r>
        <w:rPr>
          <w:rFonts w:hint="eastAsia" w:ascii="宋体" w:hAnsi="宋体" w:cs="宋体"/>
          <w:szCs w:val="21"/>
        </w:rPr>
        <w:t>（2）报价币种为人民币，含税价。</w:t>
      </w:r>
    </w:p>
    <w:p>
      <w:pPr>
        <w:pStyle w:val="26"/>
        <w:spacing w:after="0" w:line="360" w:lineRule="auto"/>
        <w:ind w:firstLine="420" w:firstLineChars="200"/>
        <w:rPr>
          <w:rFonts w:ascii="宋体" w:hAnsi="宋体" w:cs="宋体"/>
          <w:szCs w:val="21"/>
        </w:rPr>
      </w:pPr>
      <w:r>
        <w:rPr>
          <w:rFonts w:hint="eastAsia" w:ascii="宋体" w:hAnsi="宋体" w:cs="宋体"/>
          <w:szCs w:val="21"/>
        </w:rPr>
        <w:t>（3）报价表格式并未列出所有应供服务，但报价内容必须包括整个采购范围（包括但不限于第四章服务商服务要求中的要求）。服务商应根据采购范围的内容提供服务。</w:t>
      </w:r>
    </w:p>
    <w:p>
      <w:pPr>
        <w:pStyle w:val="26"/>
        <w:tabs>
          <w:tab w:val="left" w:pos="5492"/>
        </w:tabs>
        <w:spacing w:after="0" w:line="360" w:lineRule="auto"/>
        <w:ind w:firstLine="420" w:firstLineChars="200"/>
        <w:rPr>
          <w:rFonts w:ascii="宋体" w:hAnsi="宋体" w:cs="宋体"/>
          <w:szCs w:val="21"/>
        </w:rPr>
      </w:pPr>
      <w:r>
        <w:rPr>
          <w:rFonts w:hint="eastAsia" w:ascii="宋体" w:hAnsi="宋体" w:cs="宋体"/>
          <w:szCs w:val="21"/>
        </w:rPr>
        <w:t>（4）最终报价为合同有效期内不变价格。</w:t>
      </w:r>
    </w:p>
    <w:p>
      <w:pPr>
        <w:pStyle w:val="26"/>
        <w:spacing w:after="0" w:line="360" w:lineRule="auto"/>
        <w:ind w:firstLine="420" w:firstLineChars="200"/>
        <w:rPr>
          <w:rFonts w:ascii="宋体" w:hAnsi="宋体" w:cs="宋体"/>
          <w:szCs w:val="21"/>
        </w:rPr>
      </w:pPr>
      <w:r>
        <w:rPr>
          <w:rFonts w:hint="eastAsia" w:ascii="宋体" w:hAnsi="宋体" w:cs="宋体"/>
          <w:szCs w:val="21"/>
        </w:rPr>
        <w:t>（5）报价应有服务商印章及法定代表人或其授权代表的签字和日期。</w:t>
      </w:r>
    </w:p>
    <w:p>
      <w:pPr>
        <w:pStyle w:val="6"/>
        <w:rPr>
          <w:rFonts w:eastAsia="黑体"/>
          <w:szCs w:val="24"/>
        </w:rPr>
      </w:pPr>
    </w:p>
    <w:p>
      <w:pPr>
        <w:rPr>
          <w:rFonts w:eastAsia="黑体"/>
          <w:sz w:val="24"/>
          <w:szCs w:val="24"/>
        </w:rPr>
      </w:pPr>
    </w:p>
    <w:p>
      <w:pPr>
        <w:pStyle w:val="6"/>
        <w:rPr>
          <w:rFonts w:eastAsia="黑体"/>
          <w:szCs w:val="24"/>
        </w:rPr>
      </w:pPr>
    </w:p>
    <w:p>
      <w:pPr>
        <w:pStyle w:val="6"/>
        <w:rPr>
          <w:rFonts w:eastAsia="黑体"/>
          <w:szCs w:val="24"/>
        </w:rPr>
      </w:pPr>
    </w:p>
    <w:p>
      <w:pPr>
        <w:pStyle w:val="6"/>
        <w:rPr>
          <w:rFonts w:eastAsia="黑体"/>
          <w:szCs w:val="24"/>
        </w:rPr>
      </w:pPr>
    </w:p>
    <w:p>
      <w:pPr>
        <w:pStyle w:val="6"/>
        <w:rPr>
          <w:rFonts w:eastAsia="黑体"/>
          <w:szCs w:val="24"/>
        </w:rPr>
      </w:pPr>
    </w:p>
    <w:p>
      <w:pPr>
        <w:pStyle w:val="6"/>
        <w:rPr>
          <w:rFonts w:eastAsia="黑体"/>
          <w:szCs w:val="24"/>
        </w:rPr>
      </w:pPr>
    </w:p>
    <w:p>
      <w:pPr>
        <w:pStyle w:val="6"/>
        <w:rPr>
          <w:rFonts w:eastAsia="黑体"/>
          <w:szCs w:val="24"/>
        </w:rPr>
      </w:pPr>
    </w:p>
    <w:p>
      <w:pPr>
        <w:pStyle w:val="6"/>
        <w:rPr>
          <w:rFonts w:eastAsia="黑体"/>
          <w:szCs w:val="24"/>
        </w:rPr>
      </w:pPr>
    </w:p>
    <w:p>
      <w:pPr>
        <w:pStyle w:val="6"/>
        <w:rPr>
          <w:rFonts w:eastAsia="黑体"/>
          <w:szCs w:val="24"/>
        </w:rPr>
      </w:pPr>
    </w:p>
    <w:p>
      <w:pPr>
        <w:pStyle w:val="6"/>
        <w:rPr>
          <w:rFonts w:eastAsia="黑体"/>
          <w:szCs w:val="24"/>
        </w:rPr>
      </w:pPr>
    </w:p>
    <w:p>
      <w:pPr>
        <w:pStyle w:val="6"/>
        <w:rPr>
          <w:rFonts w:eastAsia="黑体"/>
          <w:szCs w:val="24"/>
        </w:rPr>
      </w:pPr>
    </w:p>
    <w:p>
      <w:pPr>
        <w:pStyle w:val="6"/>
        <w:rPr>
          <w:rFonts w:eastAsia="黑体"/>
          <w:szCs w:val="24"/>
        </w:rPr>
      </w:pPr>
    </w:p>
    <w:p>
      <w:pPr>
        <w:pStyle w:val="59"/>
        <w:spacing w:line="360" w:lineRule="auto"/>
        <w:ind w:firstLine="0" w:firstLineChars="0"/>
        <w:jc w:val="center"/>
        <w:rPr>
          <w:rFonts w:ascii="宋体" w:hAnsi="宋体" w:cs="宋体"/>
          <w:b/>
          <w:sz w:val="24"/>
          <w:szCs w:val="24"/>
        </w:rPr>
      </w:pPr>
      <w:r>
        <w:rPr>
          <w:rFonts w:ascii="宋体" w:hAnsi="宋体"/>
          <w:szCs w:val="21"/>
        </w:rPr>
        <w:br w:type="page"/>
      </w:r>
      <w:bookmarkStart w:id="622" w:name="_Toc17803"/>
      <w:bookmarkStart w:id="623" w:name="_Toc18807"/>
      <w:r>
        <w:rPr>
          <w:rFonts w:hint="eastAsia" w:ascii="宋体" w:hAnsi="宋体" w:cs="宋体"/>
          <w:b/>
          <w:sz w:val="24"/>
          <w:szCs w:val="24"/>
        </w:rPr>
        <w:t>响应报价汇总表</w:t>
      </w:r>
    </w:p>
    <w:p>
      <w:pPr>
        <w:pStyle w:val="59"/>
        <w:spacing w:line="400" w:lineRule="exact"/>
        <w:ind w:firstLine="0" w:firstLineChars="0"/>
        <w:rPr>
          <w:rFonts w:ascii="宋体" w:hAnsi="宋体"/>
          <w:color w:val="000000"/>
          <w:kern w:val="0"/>
          <w:sz w:val="24"/>
          <w:szCs w:val="24"/>
        </w:rPr>
      </w:pPr>
    </w:p>
    <w:p>
      <w:pPr>
        <w:pStyle w:val="59"/>
        <w:spacing w:line="400" w:lineRule="exact"/>
        <w:ind w:left="630" w:leftChars="300" w:firstLine="77" w:firstLineChars="37"/>
        <w:rPr>
          <w:rFonts w:ascii="宋体" w:hAnsi="宋体" w:cs="宋体"/>
        </w:rPr>
      </w:pPr>
      <w:r>
        <w:rPr>
          <w:rFonts w:hint="eastAsia" w:ascii="宋体" w:hAnsi="宋体" w:cs="宋体"/>
        </w:rPr>
        <w:t>本</w:t>
      </w:r>
      <w:r>
        <w:rPr>
          <w:rFonts w:hint="eastAsia" w:ascii="宋体" w:hAnsi="宋体" w:cs="宋体"/>
          <w:u w:val="single"/>
        </w:rPr>
        <w:t xml:space="preserve">           </w:t>
      </w:r>
      <w:r>
        <w:rPr>
          <w:rFonts w:hint="eastAsia" w:ascii="宋体" w:hAnsi="宋体" w:cs="宋体"/>
        </w:rPr>
        <w:t>服务项目报价为</w:t>
      </w:r>
      <w:r>
        <w:rPr>
          <w:rFonts w:ascii="宋体" w:hAnsi="宋体" w:cs="宋体"/>
          <w:u w:val="single"/>
        </w:rPr>
        <w:t xml:space="preserve">        </w:t>
      </w:r>
      <w:r>
        <w:rPr>
          <w:rFonts w:hint="eastAsia" w:ascii="宋体" w:hAnsi="宋体" w:cs="宋体"/>
        </w:rPr>
        <w:t>元（大写：人民币</w:t>
      </w:r>
      <w:r>
        <w:rPr>
          <w:rFonts w:ascii="宋体" w:hAnsi="宋体" w:cs="宋体"/>
          <w:u w:val="single"/>
        </w:rPr>
        <w:t xml:space="preserve">     </w:t>
      </w:r>
      <w:r>
        <w:rPr>
          <w:rFonts w:hint="eastAsia" w:ascii="宋体" w:hAnsi="宋体" w:cs="宋体"/>
        </w:rPr>
        <w:t>元整）。</w:t>
      </w:r>
    </w:p>
    <w:p>
      <w:pPr>
        <w:spacing w:line="360" w:lineRule="auto"/>
        <w:ind w:firstLine="630" w:firstLineChars="300"/>
        <w:rPr>
          <w:szCs w:val="21"/>
          <w:highlight w:val="yellow"/>
        </w:rPr>
      </w:pPr>
      <w:r>
        <w:rPr>
          <w:rFonts w:hint="eastAsia" w:ascii="宋体" w:hAnsi="宋体" w:cs="宋体"/>
          <w:color w:val="00B050"/>
          <w:szCs w:val="21"/>
          <w:highlight w:val="yellow"/>
        </w:rPr>
        <w:t>报价表格式自拟</w:t>
      </w:r>
    </w:p>
    <w:p>
      <w:pPr>
        <w:pStyle w:val="2"/>
        <w:ind w:firstLine="420"/>
        <w:rPr>
          <w:b w:val="0"/>
          <w:sz w:val="21"/>
          <w:szCs w:val="21"/>
        </w:rPr>
      </w:pPr>
    </w:p>
    <w:p>
      <w:pPr>
        <w:spacing w:line="360" w:lineRule="auto"/>
        <w:jc w:val="center"/>
        <w:rPr>
          <w:rFonts w:ascii="宋体" w:hAnsi="宋体" w:cs="宋体"/>
          <w:b/>
          <w:sz w:val="10"/>
          <w:szCs w:val="10"/>
        </w:rPr>
      </w:pPr>
    </w:p>
    <w:p>
      <w:pPr>
        <w:spacing w:line="400" w:lineRule="exact"/>
        <w:ind w:firstLine="707" w:firstLineChars="337"/>
        <w:rPr>
          <w:rFonts w:ascii="宋体" w:hAnsi="宋体" w:cs="宋体"/>
          <w:color w:val="000000"/>
          <w:szCs w:val="21"/>
        </w:rPr>
      </w:pPr>
      <w:r>
        <w:rPr>
          <w:rFonts w:hint="eastAsia" w:ascii="宋体" w:hAnsi="宋体" w:cs="宋体"/>
          <w:color w:val="000000"/>
          <w:szCs w:val="21"/>
        </w:rPr>
        <w:t xml:space="preserve">服务商名称（公章）：                       </w:t>
      </w:r>
    </w:p>
    <w:p>
      <w:pPr>
        <w:spacing w:line="400" w:lineRule="exact"/>
        <w:ind w:firstLine="707" w:firstLineChars="337"/>
        <w:rPr>
          <w:rFonts w:ascii="宋体" w:hAnsi="宋体" w:cs="宋体"/>
          <w:color w:val="000000"/>
          <w:szCs w:val="21"/>
        </w:rPr>
      </w:pPr>
      <w:r>
        <w:rPr>
          <w:rFonts w:hint="eastAsia" w:ascii="宋体" w:hAnsi="宋体" w:cs="宋体"/>
          <w:color w:val="000000"/>
          <w:szCs w:val="21"/>
        </w:rPr>
        <w:t xml:space="preserve">服务商授权代表姓名（签字）：             </w:t>
      </w:r>
    </w:p>
    <w:p>
      <w:pPr>
        <w:spacing w:line="400" w:lineRule="exact"/>
        <w:ind w:firstLine="707" w:firstLineChars="337"/>
        <w:rPr>
          <w:rFonts w:ascii="宋体" w:hAnsi="宋体" w:cs="宋体"/>
          <w:color w:val="000000"/>
          <w:szCs w:val="21"/>
        </w:rPr>
      </w:pPr>
      <w:r>
        <w:rPr>
          <w:rFonts w:hint="eastAsia" w:ascii="宋体" w:hAnsi="宋体" w:cs="宋体"/>
          <w:color w:val="000000"/>
          <w:szCs w:val="21"/>
        </w:rPr>
        <w:t>日   期：    年    月    日</w:t>
      </w:r>
    </w:p>
    <w:p>
      <w:pPr>
        <w:spacing w:line="400" w:lineRule="exact"/>
        <w:ind w:firstLine="707" w:firstLineChars="337"/>
        <w:rPr>
          <w:rFonts w:ascii="宋体" w:hAnsi="宋体" w:cs="宋体"/>
          <w:color w:val="000000"/>
          <w:szCs w:val="21"/>
        </w:rPr>
      </w:pPr>
    </w:p>
    <w:p>
      <w:pPr>
        <w:spacing w:line="400" w:lineRule="exact"/>
        <w:ind w:firstLine="707" w:firstLineChars="337"/>
        <w:rPr>
          <w:rFonts w:ascii="宋体" w:hAnsi="宋体" w:cs="宋体"/>
          <w:color w:val="000000"/>
          <w:szCs w:val="21"/>
        </w:rPr>
      </w:pPr>
      <w:r>
        <w:rPr>
          <w:rFonts w:hint="eastAsia" w:ascii="宋体" w:hAnsi="宋体" w:cs="宋体"/>
          <w:color w:val="000000"/>
          <w:szCs w:val="21"/>
        </w:rPr>
        <w:t>注：</w:t>
      </w:r>
    </w:p>
    <w:p>
      <w:pPr>
        <w:spacing w:line="400" w:lineRule="exact"/>
        <w:ind w:left="283" w:leftChars="135" w:firstLine="424" w:firstLineChars="202"/>
        <w:rPr>
          <w:rFonts w:ascii="宋体" w:hAnsi="宋体" w:cs="宋体"/>
          <w:color w:val="000000"/>
          <w:szCs w:val="21"/>
        </w:rPr>
      </w:pPr>
      <w:r>
        <w:rPr>
          <w:rFonts w:hint="eastAsia" w:ascii="宋体" w:hAnsi="宋体" w:cs="宋体"/>
          <w:color w:val="000000"/>
          <w:szCs w:val="21"/>
        </w:rPr>
        <w:t xml:space="preserve">1.此次响应价格应为一次性人民币（元），包括完成采购内容所需要的所有全部费用，采购人不再支付报价以外的任何费用。报价含大小写。如出现缺项、漏项、少报、错报时，相应的费用视为包含在响应的其他项目价格中，合同价不予增加。 </w:t>
      </w:r>
    </w:p>
    <w:p>
      <w:pPr>
        <w:spacing w:line="400" w:lineRule="exact"/>
        <w:ind w:firstLine="707" w:firstLineChars="337"/>
        <w:rPr>
          <w:rFonts w:ascii="宋体" w:hAnsi="宋体" w:cs="宋体"/>
          <w:color w:val="000000"/>
          <w:szCs w:val="21"/>
        </w:rPr>
      </w:pPr>
      <w:r>
        <w:rPr>
          <w:rFonts w:hint="eastAsia" w:ascii="宋体" w:hAnsi="宋体" w:cs="宋体"/>
          <w:color w:val="000000"/>
          <w:szCs w:val="21"/>
        </w:rPr>
        <w:t xml:space="preserve">2.报价只能按一种方案报价，否则视为无效。 </w:t>
      </w:r>
    </w:p>
    <w:p>
      <w:pPr>
        <w:spacing w:line="400" w:lineRule="exact"/>
        <w:ind w:firstLine="420" w:firstLineChars="200"/>
        <w:rPr>
          <w:rFonts w:ascii="宋体" w:hAnsi="宋体" w:cs="宋体"/>
          <w:color w:val="000000"/>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ind w:right="420" w:firstLine="3570" w:firstLineChars="1700"/>
        <w:contextualSpacing/>
        <w:rPr>
          <w:rFonts w:ascii="宋体" w:hAnsi="宋体"/>
          <w:szCs w:val="21"/>
        </w:rPr>
      </w:pPr>
      <w:r>
        <w:rPr>
          <w:rFonts w:hint="eastAsia" w:ascii="宋体" w:hAnsi="宋体"/>
          <w:szCs w:val="21"/>
        </w:rPr>
        <w:t>服务商：</w:t>
      </w:r>
      <w:r>
        <w:rPr>
          <w:rFonts w:hint="eastAsia" w:ascii="宋体" w:hAnsi="宋体"/>
          <w:szCs w:val="21"/>
          <w:u w:val="single"/>
        </w:rPr>
        <w:t xml:space="preserve">                    </w:t>
      </w:r>
      <w:r>
        <w:rPr>
          <w:rFonts w:hint="eastAsia" w:ascii="宋体" w:hAnsi="宋体"/>
          <w:szCs w:val="21"/>
        </w:rPr>
        <w:t>（加盖单位公章）</w:t>
      </w:r>
    </w:p>
    <w:p>
      <w:pPr>
        <w:spacing w:line="360" w:lineRule="auto"/>
        <w:ind w:right="420" w:firstLine="3570" w:firstLineChars="1700"/>
        <w:contextualSpacing/>
        <w:rPr>
          <w:rFonts w:ascii="宋体" w:hAnsi="宋体"/>
          <w:szCs w:val="21"/>
        </w:rPr>
      </w:pPr>
      <w:r>
        <w:rPr>
          <w:rFonts w:hint="eastAsia" w:ascii="宋体" w:hAnsi="宋体"/>
          <w:szCs w:val="21"/>
        </w:rPr>
        <w:t>法定代表人或授权委托代理人：</w:t>
      </w:r>
      <w:r>
        <w:rPr>
          <w:rFonts w:hint="eastAsia" w:ascii="宋体" w:hAnsi="宋体"/>
          <w:szCs w:val="21"/>
          <w:u w:val="single"/>
        </w:rPr>
        <w:t xml:space="preserve">      </w:t>
      </w:r>
      <w:r>
        <w:rPr>
          <w:rFonts w:hint="eastAsia" w:ascii="宋体" w:hAnsi="宋体"/>
          <w:szCs w:val="21"/>
        </w:rPr>
        <w:t>（签字或盖章）</w:t>
      </w:r>
    </w:p>
    <w:p>
      <w:pPr>
        <w:spacing w:line="360" w:lineRule="auto"/>
        <w:jc w:val="center"/>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9"/>
        <w:ind w:firstLine="0"/>
        <w:rPr>
          <w:rFonts w:ascii="宋体" w:hAnsi="宋体" w:cs="宋体"/>
          <w:sz w:val="24"/>
          <w:szCs w:val="24"/>
        </w:rPr>
        <w:sectPr>
          <w:pgSz w:w="11905" w:h="16838"/>
          <w:pgMar w:top="1417" w:right="1417" w:bottom="1417" w:left="1417" w:header="992" w:footer="992" w:gutter="0"/>
          <w:cols w:space="720" w:num="1"/>
          <w:docGrid w:type="lines" w:linePitch="318" w:charSpace="0"/>
        </w:sectPr>
      </w:pPr>
    </w:p>
    <w:p>
      <w:pPr>
        <w:spacing w:line="360" w:lineRule="auto"/>
        <w:rPr>
          <w:rFonts w:ascii="宋体" w:hAnsi="宋体" w:cs="宋体"/>
          <w:b/>
          <w:szCs w:val="21"/>
        </w:rPr>
      </w:pPr>
    </w:p>
    <w:p>
      <w:pPr>
        <w:pStyle w:val="5"/>
        <w:spacing w:before="0" w:after="0" w:line="360" w:lineRule="auto"/>
        <w:jc w:val="center"/>
        <w:rPr>
          <w:rFonts w:ascii="Times New Roman" w:hAnsi="Times New Roman" w:eastAsia="黑体"/>
          <w:sz w:val="24"/>
          <w:szCs w:val="24"/>
        </w:rPr>
      </w:pPr>
      <w:r>
        <w:rPr>
          <w:rFonts w:hint="eastAsia" w:ascii="Times New Roman" w:hAnsi="Times New Roman" w:eastAsia="黑体"/>
          <w:sz w:val="24"/>
          <w:szCs w:val="24"/>
        </w:rPr>
        <w:t>五、响应保证金(如有）</w:t>
      </w:r>
    </w:p>
    <w:p>
      <w:pPr>
        <w:spacing w:line="360" w:lineRule="auto"/>
        <w:rPr>
          <w:rFonts w:ascii="宋体" w:hAnsi="宋体" w:cs="宋体"/>
          <w:b/>
          <w:szCs w:val="21"/>
        </w:rPr>
      </w:pPr>
    </w:p>
    <w:p>
      <w:pPr>
        <w:spacing w:line="360" w:lineRule="auto"/>
        <w:ind w:firstLine="840" w:firstLineChars="400"/>
        <w:rPr>
          <w:rFonts w:ascii="宋体" w:hAnsi="宋体" w:cs="宋体"/>
          <w:b/>
          <w:szCs w:val="21"/>
        </w:rPr>
      </w:pPr>
      <w:r>
        <w:rPr>
          <w:rFonts w:hint="eastAsia" w:ascii="宋体" w:hAnsi="宋体" w:cs="宋体"/>
          <w:szCs w:val="21"/>
        </w:rPr>
        <w:t xml:space="preserve">附： </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sectPr>
          <w:pgSz w:w="11905" w:h="16838"/>
          <w:pgMar w:top="1417" w:right="1417" w:bottom="1417" w:left="1417" w:header="992" w:footer="992" w:gutter="0"/>
          <w:cols w:space="720" w:num="1"/>
          <w:docGrid w:type="lines" w:linePitch="318" w:charSpace="0"/>
        </w:sectPr>
      </w:pPr>
    </w:p>
    <w:p>
      <w:pPr>
        <w:pStyle w:val="5"/>
        <w:jc w:val="center"/>
        <w:rPr>
          <w:rFonts w:ascii="黑体" w:hAnsi="黑体" w:eastAsia="黑体"/>
          <w:sz w:val="24"/>
          <w:szCs w:val="24"/>
        </w:rPr>
      </w:pPr>
      <w:r>
        <w:rPr>
          <w:rFonts w:hint="eastAsia" w:ascii="黑体" w:hAnsi="黑体" w:eastAsia="黑体"/>
          <w:sz w:val="24"/>
          <w:szCs w:val="24"/>
        </w:rPr>
        <w:t>六、服务商证明文件</w:t>
      </w:r>
      <w:bookmarkEnd w:id="622"/>
      <w:bookmarkEnd w:id="623"/>
    </w:p>
    <w:bookmarkEnd w:id="615"/>
    <w:bookmarkEnd w:id="616"/>
    <w:bookmarkEnd w:id="617"/>
    <w:bookmarkEnd w:id="618"/>
    <w:bookmarkEnd w:id="619"/>
    <w:bookmarkEnd w:id="620"/>
    <w:bookmarkEnd w:id="621"/>
    <w:p>
      <w:pPr>
        <w:spacing w:line="360" w:lineRule="auto"/>
        <w:rPr>
          <w:rFonts w:ascii="宋体" w:hAnsi="宋体" w:cs="宋体"/>
          <w:b/>
          <w:bCs/>
          <w:szCs w:val="21"/>
        </w:rPr>
      </w:pPr>
      <w:bookmarkStart w:id="624" w:name="_Toc486010902"/>
      <w:bookmarkStart w:id="625" w:name="_Toc152042597"/>
      <w:bookmarkStart w:id="626" w:name="_Toc3826"/>
      <w:bookmarkStart w:id="627" w:name="_Toc359334284"/>
      <w:bookmarkStart w:id="628" w:name="_Toc344736785"/>
      <w:bookmarkStart w:id="629" w:name="_Toc152045808"/>
      <w:bookmarkStart w:id="630" w:name="_Toc144974876"/>
      <w:bookmarkStart w:id="631" w:name="_Toc350759311"/>
      <w:bookmarkStart w:id="632" w:name="_Toc359315177"/>
      <w:bookmarkStart w:id="633" w:name="_Toc247514300"/>
      <w:bookmarkStart w:id="634" w:name="_Toc247527848"/>
      <w:bookmarkStart w:id="635" w:name="_Toc339275064"/>
      <w:bookmarkStart w:id="636" w:name="_Toc4617"/>
      <w:bookmarkStart w:id="637" w:name="_Toc2937"/>
      <w:bookmarkStart w:id="638" w:name="_Toc28730"/>
      <w:r>
        <w:rPr>
          <w:rFonts w:hint="eastAsia" w:ascii="宋体" w:hAnsi="宋体" w:cs="宋体"/>
          <w:b/>
          <w:bCs/>
          <w:szCs w:val="21"/>
        </w:rPr>
        <w:t>（一）服务商基本情况表</w:t>
      </w:r>
      <w:bookmarkEnd w:id="624"/>
      <w:bookmarkEnd w:id="625"/>
      <w:bookmarkEnd w:id="626"/>
      <w:bookmarkEnd w:id="627"/>
      <w:bookmarkEnd w:id="628"/>
      <w:bookmarkEnd w:id="629"/>
      <w:bookmarkEnd w:id="630"/>
      <w:bookmarkEnd w:id="631"/>
      <w:bookmarkEnd w:id="632"/>
      <w:bookmarkEnd w:id="633"/>
      <w:bookmarkEnd w:id="634"/>
      <w:bookmarkEnd w:id="635"/>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50"/>
        <w:gridCol w:w="2127"/>
        <w:gridCol w:w="1559"/>
        <w:gridCol w:w="850"/>
        <w:gridCol w:w="2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2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服务商名称</w:t>
            </w:r>
          </w:p>
        </w:tc>
        <w:tc>
          <w:tcPr>
            <w:tcW w:w="7654" w:type="dxa"/>
            <w:gridSpan w:val="6"/>
            <w:vAlign w:val="center"/>
          </w:tcPr>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注册地址</w:t>
            </w:r>
          </w:p>
        </w:tc>
        <w:tc>
          <w:tcPr>
            <w:tcW w:w="4536" w:type="dxa"/>
            <w:gridSpan w:val="3"/>
            <w:vAlign w:val="center"/>
          </w:tcPr>
          <w:p>
            <w:pPr>
              <w:autoSpaceDE w:val="0"/>
              <w:autoSpaceDN w:val="0"/>
              <w:adjustRightInd w:val="0"/>
              <w:rPr>
                <w:rFonts w:ascii="宋体" w:hAnsi="宋体" w:cs="宋体"/>
                <w:kern w:val="0"/>
                <w:szCs w:val="21"/>
              </w:rPr>
            </w:pPr>
          </w:p>
        </w:tc>
        <w:tc>
          <w:tcPr>
            <w:tcW w:w="1134"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邮政编码</w:t>
            </w:r>
          </w:p>
        </w:tc>
        <w:tc>
          <w:tcPr>
            <w:tcW w:w="1984" w:type="dxa"/>
            <w:vAlign w:val="center"/>
          </w:tcPr>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联系方式</w:t>
            </w:r>
          </w:p>
        </w:tc>
        <w:tc>
          <w:tcPr>
            <w:tcW w:w="850"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联系人</w:t>
            </w:r>
          </w:p>
        </w:tc>
        <w:tc>
          <w:tcPr>
            <w:tcW w:w="3686" w:type="dxa"/>
            <w:gridSpan w:val="2"/>
            <w:vAlign w:val="center"/>
          </w:tcPr>
          <w:p>
            <w:pPr>
              <w:autoSpaceDE w:val="0"/>
              <w:autoSpaceDN w:val="0"/>
              <w:adjustRightInd w:val="0"/>
              <w:rPr>
                <w:rFonts w:ascii="宋体" w:hAnsi="宋体" w:cs="宋体"/>
                <w:kern w:val="0"/>
                <w:szCs w:val="21"/>
              </w:rPr>
            </w:pPr>
          </w:p>
        </w:tc>
        <w:tc>
          <w:tcPr>
            <w:tcW w:w="1134"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电话</w:t>
            </w:r>
          </w:p>
        </w:tc>
        <w:tc>
          <w:tcPr>
            <w:tcW w:w="1984" w:type="dxa"/>
            <w:vAlign w:val="center"/>
          </w:tcPr>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vAlign w:val="center"/>
          </w:tcPr>
          <w:p>
            <w:pPr>
              <w:autoSpaceDE w:val="0"/>
              <w:autoSpaceDN w:val="0"/>
              <w:adjustRightInd w:val="0"/>
              <w:jc w:val="center"/>
              <w:rPr>
                <w:rFonts w:ascii="宋体" w:hAnsi="宋体" w:cs="宋体"/>
                <w:kern w:val="0"/>
                <w:szCs w:val="21"/>
              </w:rPr>
            </w:pPr>
          </w:p>
        </w:tc>
        <w:tc>
          <w:tcPr>
            <w:tcW w:w="850"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传真</w:t>
            </w:r>
          </w:p>
        </w:tc>
        <w:tc>
          <w:tcPr>
            <w:tcW w:w="3686" w:type="dxa"/>
            <w:gridSpan w:val="2"/>
            <w:vAlign w:val="center"/>
          </w:tcPr>
          <w:p>
            <w:pPr>
              <w:autoSpaceDE w:val="0"/>
              <w:autoSpaceDN w:val="0"/>
              <w:adjustRightInd w:val="0"/>
              <w:rPr>
                <w:rFonts w:ascii="宋体" w:hAnsi="宋体" w:cs="宋体"/>
                <w:kern w:val="0"/>
                <w:szCs w:val="21"/>
              </w:rPr>
            </w:pPr>
          </w:p>
        </w:tc>
        <w:tc>
          <w:tcPr>
            <w:tcW w:w="1134"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网址</w:t>
            </w:r>
          </w:p>
        </w:tc>
        <w:tc>
          <w:tcPr>
            <w:tcW w:w="1984" w:type="dxa"/>
            <w:vAlign w:val="center"/>
          </w:tcPr>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组织结构</w:t>
            </w:r>
          </w:p>
        </w:tc>
        <w:tc>
          <w:tcPr>
            <w:tcW w:w="2977" w:type="dxa"/>
            <w:gridSpan w:val="2"/>
            <w:vAlign w:val="center"/>
          </w:tcPr>
          <w:p>
            <w:pPr>
              <w:autoSpaceDE w:val="0"/>
              <w:autoSpaceDN w:val="0"/>
              <w:adjustRightInd w:val="0"/>
              <w:rPr>
                <w:rFonts w:ascii="宋体" w:hAnsi="宋体" w:cs="宋体"/>
                <w:kern w:val="0"/>
                <w:szCs w:val="21"/>
              </w:rPr>
            </w:pPr>
          </w:p>
        </w:tc>
        <w:tc>
          <w:tcPr>
            <w:tcW w:w="1559"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注册资金</w:t>
            </w:r>
          </w:p>
        </w:tc>
        <w:tc>
          <w:tcPr>
            <w:tcW w:w="3118" w:type="dxa"/>
            <w:gridSpan w:val="3"/>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法定代表人</w:t>
            </w:r>
          </w:p>
        </w:tc>
        <w:tc>
          <w:tcPr>
            <w:tcW w:w="850"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姓名</w:t>
            </w:r>
          </w:p>
        </w:tc>
        <w:tc>
          <w:tcPr>
            <w:tcW w:w="2127" w:type="dxa"/>
            <w:vAlign w:val="center"/>
          </w:tcPr>
          <w:p>
            <w:pPr>
              <w:autoSpaceDE w:val="0"/>
              <w:autoSpaceDN w:val="0"/>
              <w:adjustRightInd w:val="0"/>
              <w:rPr>
                <w:rFonts w:ascii="宋体" w:hAnsi="宋体" w:cs="宋体"/>
                <w:kern w:val="0"/>
                <w:szCs w:val="21"/>
              </w:rPr>
            </w:pPr>
          </w:p>
        </w:tc>
        <w:tc>
          <w:tcPr>
            <w:tcW w:w="1559"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电话</w:t>
            </w:r>
          </w:p>
        </w:tc>
        <w:tc>
          <w:tcPr>
            <w:tcW w:w="3118" w:type="dxa"/>
            <w:gridSpan w:val="3"/>
            <w:vAlign w:val="center"/>
          </w:tcPr>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委托代理人</w:t>
            </w:r>
          </w:p>
        </w:tc>
        <w:tc>
          <w:tcPr>
            <w:tcW w:w="850"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姓名</w:t>
            </w:r>
          </w:p>
        </w:tc>
        <w:tc>
          <w:tcPr>
            <w:tcW w:w="2127" w:type="dxa"/>
            <w:vAlign w:val="center"/>
          </w:tcPr>
          <w:p>
            <w:pPr>
              <w:autoSpaceDE w:val="0"/>
              <w:autoSpaceDN w:val="0"/>
              <w:adjustRightInd w:val="0"/>
              <w:rPr>
                <w:rFonts w:ascii="宋体" w:hAnsi="宋体" w:cs="宋体"/>
                <w:kern w:val="0"/>
                <w:szCs w:val="21"/>
              </w:rPr>
            </w:pPr>
          </w:p>
        </w:tc>
        <w:tc>
          <w:tcPr>
            <w:tcW w:w="1559"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电话</w:t>
            </w:r>
          </w:p>
        </w:tc>
        <w:tc>
          <w:tcPr>
            <w:tcW w:w="3118" w:type="dxa"/>
            <w:gridSpan w:val="3"/>
            <w:vAlign w:val="center"/>
          </w:tcPr>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成立时间</w:t>
            </w:r>
          </w:p>
        </w:tc>
        <w:tc>
          <w:tcPr>
            <w:tcW w:w="2977" w:type="dxa"/>
            <w:gridSpan w:val="2"/>
            <w:vAlign w:val="center"/>
          </w:tcPr>
          <w:p>
            <w:pPr>
              <w:autoSpaceDE w:val="0"/>
              <w:autoSpaceDN w:val="0"/>
              <w:adjustRightInd w:val="0"/>
              <w:rPr>
                <w:rFonts w:ascii="宋体" w:hAnsi="宋体" w:cs="宋体"/>
                <w:kern w:val="0"/>
                <w:szCs w:val="21"/>
              </w:rPr>
            </w:pPr>
          </w:p>
        </w:tc>
        <w:tc>
          <w:tcPr>
            <w:tcW w:w="2409"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员工总数</w:t>
            </w:r>
          </w:p>
        </w:tc>
        <w:tc>
          <w:tcPr>
            <w:tcW w:w="2268" w:type="dxa"/>
            <w:gridSpan w:val="2"/>
            <w:vAlign w:val="center"/>
          </w:tcPr>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企业资质等级</w:t>
            </w:r>
          </w:p>
        </w:tc>
        <w:tc>
          <w:tcPr>
            <w:tcW w:w="2127" w:type="dxa"/>
            <w:vAlign w:val="center"/>
          </w:tcPr>
          <w:p>
            <w:pPr>
              <w:autoSpaceDE w:val="0"/>
              <w:autoSpaceDN w:val="0"/>
              <w:adjustRightInd w:val="0"/>
              <w:rPr>
                <w:rFonts w:ascii="宋体" w:hAnsi="宋体" w:cs="宋体"/>
                <w:kern w:val="0"/>
                <w:szCs w:val="21"/>
              </w:rPr>
            </w:pPr>
          </w:p>
        </w:tc>
        <w:tc>
          <w:tcPr>
            <w:tcW w:w="2409"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其中高级职称人员</w:t>
            </w:r>
          </w:p>
        </w:tc>
        <w:tc>
          <w:tcPr>
            <w:tcW w:w="2268" w:type="dxa"/>
            <w:gridSpan w:val="2"/>
            <w:vAlign w:val="center"/>
          </w:tcPr>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营业证号</w:t>
            </w:r>
          </w:p>
        </w:tc>
        <w:tc>
          <w:tcPr>
            <w:tcW w:w="2127" w:type="dxa"/>
            <w:vAlign w:val="center"/>
          </w:tcPr>
          <w:p>
            <w:pPr>
              <w:autoSpaceDE w:val="0"/>
              <w:autoSpaceDN w:val="0"/>
              <w:adjustRightInd w:val="0"/>
              <w:rPr>
                <w:rFonts w:ascii="宋体" w:hAnsi="宋体" w:cs="宋体"/>
                <w:kern w:val="0"/>
                <w:szCs w:val="21"/>
              </w:rPr>
            </w:pPr>
          </w:p>
        </w:tc>
        <w:tc>
          <w:tcPr>
            <w:tcW w:w="2409"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中级职称人员</w:t>
            </w:r>
          </w:p>
        </w:tc>
        <w:tc>
          <w:tcPr>
            <w:tcW w:w="2268" w:type="dxa"/>
            <w:gridSpan w:val="2"/>
            <w:vAlign w:val="center"/>
          </w:tcPr>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生产证号</w:t>
            </w:r>
          </w:p>
        </w:tc>
        <w:tc>
          <w:tcPr>
            <w:tcW w:w="2127" w:type="dxa"/>
            <w:vAlign w:val="center"/>
          </w:tcPr>
          <w:p>
            <w:pPr>
              <w:autoSpaceDE w:val="0"/>
              <w:autoSpaceDN w:val="0"/>
              <w:adjustRightInd w:val="0"/>
              <w:rPr>
                <w:rFonts w:ascii="宋体" w:hAnsi="宋体" w:cs="宋体"/>
                <w:kern w:val="0"/>
                <w:szCs w:val="21"/>
              </w:rPr>
            </w:pPr>
          </w:p>
        </w:tc>
        <w:tc>
          <w:tcPr>
            <w:tcW w:w="2409"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税务登记证号</w:t>
            </w:r>
          </w:p>
        </w:tc>
        <w:tc>
          <w:tcPr>
            <w:tcW w:w="2268" w:type="dxa"/>
            <w:gridSpan w:val="2"/>
            <w:vAlign w:val="center"/>
          </w:tcPr>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开户银行</w:t>
            </w:r>
          </w:p>
        </w:tc>
        <w:tc>
          <w:tcPr>
            <w:tcW w:w="6804" w:type="dxa"/>
            <w:gridSpan w:val="5"/>
            <w:vAlign w:val="center"/>
          </w:tcPr>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账号</w:t>
            </w:r>
          </w:p>
        </w:tc>
        <w:tc>
          <w:tcPr>
            <w:tcW w:w="6804" w:type="dxa"/>
            <w:gridSpan w:val="5"/>
            <w:vAlign w:val="center"/>
          </w:tcPr>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52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经营范围</w:t>
            </w:r>
          </w:p>
        </w:tc>
        <w:tc>
          <w:tcPr>
            <w:tcW w:w="7654" w:type="dxa"/>
            <w:gridSpan w:val="6"/>
            <w:vAlign w:val="center"/>
          </w:tcPr>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备注</w:t>
            </w:r>
          </w:p>
        </w:tc>
        <w:tc>
          <w:tcPr>
            <w:tcW w:w="7654" w:type="dxa"/>
            <w:gridSpan w:val="6"/>
            <w:vAlign w:val="center"/>
          </w:tcPr>
          <w:p>
            <w:pPr>
              <w:autoSpaceDE w:val="0"/>
              <w:autoSpaceDN w:val="0"/>
              <w:adjustRightInd w:val="0"/>
              <w:rPr>
                <w:rFonts w:ascii="宋体" w:hAnsi="宋体" w:cs="宋体"/>
                <w:kern w:val="0"/>
                <w:szCs w:val="21"/>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附以下证件扫描件（包括但不限于）：</w:t>
      </w:r>
    </w:p>
    <w:p>
      <w:pPr>
        <w:pStyle w:val="6"/>
        <w:ind w:firstLine="420" w:firstLineChars="200"/>
        <w:rPr>
          <w:rFonts w:ascii="宋体" w:hAnsi="宋体" w:cs="宋体"/>
          <w:sz w:val="21"/>
          <w:szCs w:val="21"/>
        </w:rPr>
      </w:pPr>
      <w:r>
        <w:rPr>
          <w:rFonts w:ascii="宋体" w:hAnsi="宋体" w:cs="宋体"/>
          <w:sz w:val="21"/>
          <w:szCs w:val="21"/>
        </w:rPr>
        <w:t>1、</w:t>
      </w:r>
      <w:r>
        <w:rPr>
          <w:rFonts w:hint="eastAsia" w:ascii="宋体" w:hAnsi="宋体" w:cs="宋体"/>
          <w:sz w:val="21"/>
          <w:szCs w:val="21"/>
        </w:rPr>
        <w:t>服务商</w:t>
      </w:r>
      <w:r>
        <w:rPr>
          <w:rFonts w:ascii="宋体" w:hAnsi="宋体" w:cs="宋体"/>
          <w:sz w:val="21"/>
          <w:szCs w:val="21"/>
        </w:rPr>
        <w:t>营业执照副本复印件。</w:t>
      </w:r>
    </w:p>
    <w:p>
      <w:pPr>
        <w:pStyle w:val="6"/>
        <w:rPr>
          <w:rFonts w:ascii="宋体" w:hAnsi="宋体" w:cs="宋体"/>
          <w:sz w:val="21"/>
          <w:szCs w:val="21"/>
        </w:rPr>
      </w:pPr>
      <w:r>
        <w:rPr>
          <w:rFonts w:hint="eastAsia" w:ascii="宋体" w:hAnsi="宋体" w:cs="宋体"/>
          <w:sz w:val="21"/>
          <w:szCs w:val="21"/>
        </w:rPr>
        <w:t xml:space="preserve">    2、服务商提供其他的证明文件</w:t>
      </w:r>
    </w:p>
    <w:p/>
    <w:p>
      <w:pPr>
        <w:pStyle w:val="29"/>
        <w:ind w:firstLine="562"/>
      </w:pPr>
    </w:p>
    <w:p>
      <w:pPr>
        <w:spacing w:line="360" w:lineRule="auto"/>
        <w:rPr>
          <w:rFonts w:ascii="宋体" w:hAnsi="宋体" w:cs="宋体"/>
          <w:b/>
          <w:bCs/>
          <w:szCs w:val="21"/>
        </w:rPr>
      </w:pPr>
      <w:r>
        <w:rPr>
          <w:rFonts w:hint="eastAsia" w:ascii="宋体" w:hAnsi="宋体" w:cs="宋体"/>
          <w:b/>
          <w:bCs/>
          <w:szCs w:val="21"/>
        </w:rPr>
        <w:t>（二）近年财务状况表</w:t>
      </w:r>
    </w:p>
    <w:p>
      <w:pPr>
        <w:spacing w:line="360" w:lineRule="auto"/>
        <w:rPr>
          <w:rFonts w:ascii="宋体" w:hAnsi="宋体" w:cs="宋体"/>
          <w:snapToGrid w:val="0"/>
          <w:kern w:val="0"/>
          <w:szCs w:val="21"/>
        </w:rPr>
      </w:pPr>
      <w:r>
        <w:rPr>
          <w:rFonts w:hint="eastAsia" w:ascii="宋体" w:hAnsi="宋体" w:cs="宋体"/>
          <w:snapToGrid w:val="0"/>
          <w:kern w:val="0"/>
          <w:szCs w:val="21"/>
        </w:rPr>
        <w:t>附：提供</w:t>
      </w:r>
      <w:r>
        <w:rPr>
          <w:rFonts w:ascii="宋体" w:hAnsi="宋体" w:cs="宋体"/>
          <w:snapToGrid w:val="0"/>
          <w:kern w:val="0"/>
          <w:szCs w:val="21"/>
        </w:rPr>
        <w:t>201</w:t>
      </w:r>
      <w:r>
        <w:rPr>
          <w:rFonts w:hint="eastAsia" w:ascii="宋体" w:hAnsi="宋体" w:cs="宋体"/>
          <w:snapToGrid w:val="0"/>
          <w:kern w:val="0"/>
          <w:szCs w:val="21"/>
        </w:rPr>
        <w:t>9</w:t>
      </w:r>
      <w:r>
        <w:rPr>
          <w:rFonts w:ascii="宋体" w:hAnsi="宋体" w:cs="宋体"/>
          <w:snapToGrid w:val="0"/>
          <w:kern w:val="0"/>
          <w:szCs w:val="21"/>
        </w:rPr>
        <w:t>年度、20</w:t>
      </w:r>
      <w:r>
        <w:rPr>
          <w:rFonts w:hint="eastAsia" w:ascii="宋体" w:hAnsi="宋体" w:cs="宋体"/>
          <w:snapToGrid w:val="0"/>
          <w:kern w:val="0"/>
          <w:szCs w:val="21"/>
        </w:rPr>
        <w:t>20</w:t>
      </w:r>
      <w:r>
        <w:rPr>
          <w:rFonts w:ascii="宋体" w:hAnsi="宋体" w:cs="宋体"/>
          <w:snapToGrid w:val="0"/>
          <w:kern w:val="0"/>
          <w:szCs w:val="21"/>
        </w:rPr>
        <w:t>年度</w:t>
      </w:r>
      <w:r>
        <w:rPr>
          <w:rFonts w:hint="eastAsia" w:ascii="宋体" w:hAnsi="宋体" w:cs="宋体"/>
          <w:snapToGrid w:val="0"/>
          <w:kern w:val="0"/>
          <w:szCs w:val="21"/>
        </w:rPr>
        <w:t>、2021年度经会计师事务所审计的财务审计报告。</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pPr>
    </w:p>
    <w:p>
      <w:pPr>
        <w:pStyle w:val="6"/>
      </w:pPr>
    </w:p>
    <w:p>
      <w:pPr>
        <w:pStyle w:val="6"/>
        <w:rPr>
          <w:szCs w:val="22"/>
        </w:rPr>
      </w:pPr>
    </w:p>
    <w:p>
      <w:pPr>
        <w:pStyle w:val="6"/>
      </w:pPr>
    </w:p>
    <w:p>
      <w:pPr>
        <w:pStyle w:val="2"/>
        <w:ind w:firstLine="643"/>
      </w:pPr>
    </w:p>
    <w:p>
      <w:pPr>
        <w:spacing w:line="360" w:lineRule="auto"/>
        <w:rPr>
          <w:rFonts w:ascii="宋体" w:hAnsi="宋体" w:cs="宋体"/>
          <w:b/>
          <w:bCs/>
          <w:szCs w:val="21"/>
        </w:rPr>
      </w:pPr>
      <w:bookmarkStart w:id="639" w:name="_Toc152045810"/>
      <w:bookmarkStart w:id="640" w:name="_Toc339275066"/>
      <w:bookmarkStart w:id="641" w:name="_Toc247527850"/>
      <w:bookmarkStart w:id="642" w:name="_Toc24177"/>
      <w:bookmarkStart w:id="643" w:name="_Toc359334286"/>
      <w:bookmarkStart w:id="644" w:name="_Toc359315179"/>
      <w:bookmarkStart w:id="645" w:name="_Toc350759313"/>
      <w:bookmarkStart w:id="646" w:name="_Toc344736787"/>
      <w:bookmarkStart w:id="647" w:name="_Toc247514302"/>
      <w:bookmarkStart w:id="648" w:name="_Toc486010904"/>
      <w:bookmarkStart w:id="649" w:name="_Toc144974878"/>
      <w:bookmarkStart w:id="650" w:name="_Toc152042599"/>
      <w:r>
        <w:rPr>
          <w:rFonts w:hint="eastAsia" w:ascii="宋体" w:hAnsi="宋体" w:cs="宋体"/>
          <w:b/>
          <w:bCs/>
          <w:szCs w:val="21"/>
        </w:rPr>
        <w:t>（三）近年完成的类似业绩情况表</w:t>
      </w:r>
      <w:bookmarkEnd w:id="639"/>
      <w:bookmarkEnd w:id="640"/>
      <w:bookmarkEnd w:id="641"/>
      <w:bookmarkEnd w:id="642"/>
      <w:bookmarkEnd w:id="643"/>
      <w:bookmarkEnd w:id="644"/>
      <w:bookmarkEnd w:id="645"/>
      <w:bookmarkEnd w:id="646"/>
      <w:bookmarkEnd w:id="647"/>
      <w:bookmarkEnd w:id="648"/>
      <w:bookmarkEnd w:id="649"/>
      <w:bookmarkEnd w:id="650"/>
    </w:p>
    <w:tbl>
      <w:tblPr>
        <w:tblStyle w:val="30"/>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15"/>
        <w:gridCol w:w="1638"/>
        <w:gridCol w:w="1303"/>
        <w:gridCol w:w="1089"/>
        <w:gridCol w:w="931"/>
        <w:gridCol w:w="105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71"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415" w:type="dxa"/>
            <w:vAlign w:val="center"/>
          </w:tcPr>
          <w:p>
            <w:pPr>
              <w:widowControl/>
              <w:jc w:val="center"/>
              <w:rPr>
                <w:rFonts w:ascii="宋体" w:hAnsi="宋体" w:cs="宋体"/>
                <w:kern w:val="0"/>
                <w:szCs w:val="21"/>
              </w:rPr>
            </w:pPr>
            <w:r>
              <w:rPr>
                <w:rFonts w:hint="eastAsia" w:ascii="宋体" w:hAnsi="宋体" w:cs="宋体"/>
                <w:kern w:val="0"/>
                <w:szCs w:val="21"/>
              </w:rPr>
              <w:t>项目名称</w:t>
            </w:r>
          </w:p>
        </w:tc>
        <w:tc>
          <w:tcPr>
            <w:tcW w:w="1638" w:type="dxa"/>
            <w:vAlign w:val="center"/>
          </w:tcPr>
          <w:p>
            <w:pPr>
              <w:widowControl/>
              <w:jc w:val="center"/>
              <w:rPr>
                <w:rFonts w:ascii="宋体" w:hAnsi="宋体" w:cs="宋体"/>
                <w:kern w:val="0"/>
                <w:szCs w:val="21"/>
              </w:rPr>
            </w:pPr>
            <w:r>
              <w:rPr>
                <w:rFonts w:hint="eastAsia"/>
                <w:szCs w:val="21"/>
              </w:rPr>
              <w:t>委托单位</w:t>
            </w:r>
          </w:p>
        </w:tc>
        <w:tc>
          <w:tcPr>
            <w:tcW w:w="1303" w:type="dxa"/>
            <w:vAlign w:val="center"/>
          </w:tcPr>
          <w:p>
            <w:pPr>
              <w:widowControl/>
              <w:jc w:val="center"/>
              <w:rPr>
                <w:rFonts w:ascii="宋体" w:hAnsi="宋体" w:cs="宋体"/>
                <w:kern w:val="0"/>
                <w:szCs w:val="21"/>
              </w:rPr>
            </w:pPr>
            <w:r>
              <w:rPr>
                <w:rFonts w:hint="eastAsia"/>
                <w:szCs w:val="21"/>
              </w:rPr>
              <w:t>项目规模</w:t>
            </w:r>
          </w:p>
        </w:tc>
        <w:tc>
          <w:tcPr>
            <w:tcW w:w="1089" w:type="dxa"/>
            <w:vAlign w:val="center"/>
          </w:tcPr>
          <w:p>
            <w:pPr>
              <w:widowControl/>
              <w:jc w:val="center"/>
              <w:rPr>
                <w:rFonts w:ascii="宋体" w:hAnsi="宋体" w:cs="宋体"/>
                <w:kern w:val="0"/>
                <w:szCs w:val="21"/>
              </w:rPr>
            </w:pPr>
            <w:r>
              <w:rPr>
                <w:rFonts w:hint="eastAsia"/>
                <w:szCs w:val="21"/>
              </w:rPr>
              <w:t>服务范围</w:t>
            </w:r>
          </w:p>
        </w:tc>
        <w:tc>
          <w:tcPr>
            <w:tcW w:w="931" w:type="dxa"/>
            <w:vAlign w:val="center"/>
          </w:tcPr>
          <w:p>
            <w:pPr>
              <w:widowControl/>
              <w:jc w:val="center"/>
              <w:rPr>
                <w:rFonts w:ascii="宋体" w:hAnsi="宋体" w:cs="宋体"/>
                <w:kern w:val="0"/>
                <w:szCs w:val="21"/>
              </w:rPr>
            </w:pPr>
            <w:r>
              <w:rPr>
                <w:rFonts w:hint="eastAsia" w:ascii="宋体" w:hAnsi="宋体" w:cs="宋体"/>
                <w:kern w:val="0"/>
                <w:szCs w:val="21"/>
              </w:rPr>
              <w:t>合同签订时间</w:t>
            </w:r>
          </w:p>
        </w:tc>
        <w:tc>
          <w:tcPr>
            <w:tcW w:w="1056" w:type="dxa"/>
            <w:vAlign w:val="center"/>
          </w:tcPr>
          <w:p>
            <w:pPr>
              <w:widowControl/>
              <w:jc w:val="center"/>
              <w:rPr>
                <w:rFonts w:ascii="宋体" w:hAnsi="宋体" w:cs="宋体"/>
                <w:kern w:val="0"/>
                <w:szCs w:val="21"/>
              </w:rPr>
            </w:pPr>
            <w:r>
              <w:rPr>
                <w:rFonts w:hint="eastAsia" w:ascii="宋体" w:hAnsi="宋体" w:cs="宋体"/>
                <w:kern w:val="0"/>
                <w:szCs w:val="21"/>
              </w:rPr>
              <w:t>联系人</w:t>
            </w:r>
          </w:p>
        </w:tc>
        <w:tc>
          <w:tcPr>
            <w:tcW w:w="1233" w:type="dxa"/>
            <w:vAlign w:val="center"/>
          </w:tcPr>
          <w:p>
            <w:pPr>
              <w:widowControl/>
              <w:jc w:val="center"/>
              <w:rPr>
                <w:rFonts w:ascii="宋体" w:hAnsi="宋体" w:cs="宋体"/>
                <w:kern w:val="0"/>
                <w:szCs w:val="21"/>
              </w:rPr>
            </w:pPr>
            <w:r>
              <w:rPr>
                <w:rFonts w:hint="eastAsia" w:ascii="宋体" w:hAnsi="宋体" w:cs="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1" w:type="dxa"/>
            <w:vAlign w:val="center"/>
          </w:tcPr>
          <w:p>
            <w:pPr>
              <w:widowControl/>
              <w:jc w:val="center"/>
              <w:rPr>
                <w:rFonts w:ascii="宋体" w:hAnsi="宋体" w:cs="宋体"/>
                <w:kern w:val="0"/>
                <w:szCs w:val="21"/>
                <w:highlight w:val="yellow"/>
              </w:rPr>
            </w:pPr>
          </w:p>
        </w:tc>
        <w:tc>
          <w:tcPr>
            <w:tcW w:w="1415" w:type="dxa"/>
            <w:vAlign w:val="center"/>
          </w:tcPr>
          <w:p>
            <w:pPr>
              <w:widowControl/>
              <w:jc w:val="center"/>
              <w:rPr>
                <w:rFonts w:ascii="宋体" w:hAnsi="宋体" w:cs="宋体"/>
                <w:kern w:val="0"/>
                <w:szCs w:val="21"/>
                <w:highlight w:val="yellow"/>
              </w:rPr>
            </w:pPr>
          </w:p>
        </w:tc>
        <w:tc>
          <w:tcPr>
            <w:tcW w:w="1638" w:type="dxa"/>
            <w:vAlign w:val="center"/>
          </w:tcPr>
          <w:p>
            <w:pPr>
              <w:widowControl/>
              <w:jc w:val="center"/>
              <w:rPr>
                <w:rFonts w:ascii="宋体" w:hAnsi="宋体" w:cs="宋体"/>
                <w:kern w:val="0"/>
                <w:szCs w:val="21"/>
                <w:highlight w:val="yellow"/>
              </w:rPr>
            </w:pPr>
          </w:p>
        </w:tc>
        <w:tc>
          <w:tcPr>
            <w:tcW w:w="1303" w:type="dxa"/>
          </w:tcPr>
          <w:p>
            <w:pPr>
              <w:widowControl/>
              <w:jc w:val="center"/>
              <w:rPr>
                <w:rFonts w:ascii="宋体" w:hAnsi="宋体" w:cs="宋体"/>
                <w:kern w:val="0"/>
                <w:szCs w:val="21"/>
                <w:highlight w:val="yellow"/>
              </w:rPr>
            </w:pPr>
          </w:p>
        </w:tc>
        <w:tc>
          <w:tcPr>
            <w:tcW w:w="1089" w:type="dxa"/>
            <w:vAlign w:val="center"/>
          </w:tcPr>
          <w:p>
            <w:pPr>
              <w:widowControl/>
              <w:jc w:val="center"/>
              <w:rPr>
                <w:rFonts w:ascii="宋体" w:hAnsi="宋体" w:cs="宋体"/>
                <w:kern w:val="0"/>
                <w:szCs w:val="21"/>
                <w:highlight w:val="yellow"/>
              </w:rPr>
            </w:pPr>
          </w:p>
        </w:tc>
        <w:tc>
          <w:tcPr>
            <w:tcW w:w="931" w:type="dxa"/>
            <w:vAlign w:val="center"/>
          </w:tcPr>
          <w:p>
            <w:pPr>
              <w:widowControl/>
              <w:jc w:val="center"/>
              <w:rPr>
                <w:rFonts w:ascii="宋体" w:hAnsi="宋体" w:cs="宋体"/>
                <w:kern w:val="0"/>
                <w:szCs w:val="21"/>
                <w:highlight w:val="yellow"/>
              </w:rPr>
            </w:pPr>
          </w:p>
        </w:tc>
        <w:tc>
          <w:tcPr>
            <w:tcW w:w="1056" w:type="dxa"/>
            <w:vAlign w:val="center"/>
          </w:tcPr>
          <w:p>
            <w:pPr>
              <w:widowControl/>
              <w:jc w:val="center"/>
              <w:rPr>
                <w:rFonts w:ascii="宋体" w:hAnsi="宋体" w:cs="宋体"/>
                <w:kern w:val="0"/>
                <w:szCs w:val="21"/>
                <w:highlight w:val="yellow"/>
              </w:rPr>
            </w:pPr>
          </w:p>
        </w:tc>
        <w:tc>
          <w:tcPr>
            <w:tcW w:w="1233" w:type="dxa"/>
            <w:vAlign w:val="center"/>
          </w:tcPr>
          <w:p>
            <w:pPr>
              <w:widowControl/>
              <w:jc w:val="center"/>
              <w:rPr>
                <w:rFonts w:ascii="宋体" w:hAnsi="宋体" w:cs="宋体"/>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1" w:type="dxa"/>
            <w:vAlign w:val="center"/>
          </w:tcPr>
          <w:p>
            <w:pPr>
              <w:widowControl/>
              <w:jc w:val="center"/>
              <w:rPr>
                <w:rFonts w:ascii="宋体" w:hAnsi="宋体" w:cs="宋体"/>
                <w:kern w:val="0"/>
                <w:szCs w:val="21"/>
                <w:highlight w:val="yellow"/>
              </w:rPr>
            </w:pPr>
          </w:p>
        </w:tc>
        <w:tc>
          <w:tcPr>
            <w:tcW w:w="1415" w:type="dxa"/>
            <w:vAlign w:val="center"/>
          </w:tcPr>
          <w:p>
            <w:pPr>
              <w:widowControl/>
              <w:jc w:val="center"/>
              <w:rPr>
                <w:rFonts w:ascii="宋体" w:hAnsi="宋体" w:cs="宋体"/>
                <w:kern w:val="0"/>
                <w:szCs w:val="21"/>
                <w:highlight w:val="yellow"/>
              </w:rPr>
            </w:pPr>
          </w:p>
        </w:tc>
        <w:tc>
          <w:tcPr>
            <w:tcW w:w="1638" w:type="dxa"/>
            <w:vAlign w:val="center"/>
          </w:tcPr>
          <w:p>
            <w:pPr>
              <w:widowControl/>
              <w:jc w:val="center"/>
              <w:rPr>
                <w:rFonts w:ascii="宋体" w:hAnsi="宋体" w:cs="宋体"/>
                <w:kern w:val="0"/>
                <w:szCs w:val="21"/>
                <w:highlight w:val="yellow"/>
              </w:rPr>
            </w:pPr>
          </w:p>
        </w:tc>
        <w:tc>
          <w:tcPr>
            <w:tcW w:w="1303" w:type="dxa"/>
          </w:tcPr>
          <w:p>
            <w:pPr>
              <w:widowControl/>
              <w:jc w:val="center"/>
              <w:rPr>
                <w:rFonts w:ascii="宋体" w:hAnsi="宋体" w:cs="宋体"/>
                <w:kern w:val="0"/>
                <w:szCs w:val="21"/>
                <w:highlight w:val="yellow"/>
              </w:rPr>
            </w:pPr>
          </w:p>
        </w:tc>
        <w:tc>
          <w:tcPr>
            <w:tcW w:w="1089" w:type="dxa"/>
            <w:vAlign w:val="center"/>
          </w:tcPr>
          <w:p>
            <w:pPr>
              <w:widowControl/>
              <w:jc w:val="center"/>
              <w:rPr>
                <w:rFonts w:ascii="宋体" w:hAnsi="宋体" w:cs="宋体"/>
                <w:kern w:val="0"/>
                <w:szCs w:val="21"/>
                <w:highlight w:val="yellow"/>
              </w:rPr>
            </w:pPr>
          </w:p>
        </w:tc>
        <w:tc>
          <w:tcPr>
            <w:tcW w:w="931" w:type="dxa"/>
            <w:vAlign w:val="center"/>
          </w:tcPr>
          <w:p>
            <w:pPr>
              <w:widowControl/>
              <w:jc w:val="center"/>
              <w:rPr>
                <w:rFonts w:ascii="宋体" w:hAnsi="宋体" w:cs="宋体"/>
                <w:kern w:val="0"/>
                <w:szCs w:val="21"/>
                <w:highlight w:val="yellow"/>
              </w:rPr>
            </w:pPr>
          </w:p>
        </w:tc>
        <w:tc>
          <w:tcPr>
            <w:tcW w:w="1056" w:type="dxa"/>
            <w:vAlign w:val="center"/>
          </w:tcPr>
          <w:p>
            <w:pPr>
              <w:widowControl/>
              <w:jc w:val="center"/>
              <w:rPr>
                <w:rFonts w:ascii="宋体" w:hAnsi="宋体" w:cs="宋体"/>
                <w:kern w:val="0"/>
                <w:szCs w:val="21"/>
                <w:highlight w:val="yellow"/>
              </w:rPr>
            </w:pPr>
          </w:p>
        </w:tc>
        <w:tc>
          <w:tcPr>
            <w:tcW w:w="1233" w:type="dxa"/>
            <w:vAlign w:val="center"/>
          </w:tcPr>
          <w:p>
            <w:pPr>
              <w:widowControl/>
              <w:jc w:val="center"/>
              <w:rPr>
                <w:rFonts w:ascii="宋体" w:hAnsi="宋体" w:cs="宋体"/>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1" w:type="dxa"/>
            <w:vAlign w:val="center"/>
          </w:tcPr>
          <w:p>
            <w:pPr>
              <w:widowControl/>
              <w:jc w:val="center"/>
              <w:rPr>
                <w:rFonts w:ascii="宋体" w:hAnsi="宋体" w:cs="宋体"/>
                <w:kern w:val="0"/>
                <w:szCs w:val="21"/>
                <w:highlight w:val="yellow"/>
              </w:rPr>
            </w:pPr>
          </w:p>
        </w:tc>
        <w:tc>
          <w:tcPr>
            <w:tcW w:w="1415" w:type="dxa"/>
            <w:vAlign w:val="center"/>
          </w:tcPr>
          <w:p>
            <w:pPr>
              <w:widowControl/>
              <w:jc w:val="center"/>
              <w:rPr>
                <w:rFonts w:ascii="宋体" w:hAnsi="宋体" w:cs="宋体"/>
                <w:kern w:val="0"/>
                <w:szCs w:val="21"/>
                <w:highlight w:val="yellow"/>
              </w:rPr>
            </w:pPr>
          </w:p>
        </w:tc>
        <w:tc>
          <w:tcPr>
            <w:tcW w:w="1638" w:type="dxa"/>
            <w:vAlign w:val="center"/>
          </w:tcPr>
          <w:p>
            <w:pPr>
              <w:widowControl/>
              <w:jc w:val="center"/>
              <w:rPr>
                <w:rFonts w:ascii="宋体" w:hAnsi="宋体" w:cs="宋体"/>
                <w:kern w:val="0"/>
                <w:szCs w:val="21"/>
                <w:highlight w:val="yellow"/>
              </w:rPr>
            </w:pPr>
          </w:p>
        </w:tc>
        <w:tc>
          <w:tcPr>
            <w:tcW w:w="1303" w:type="dxa"/>
          </w:tcPr>
          <w:p>
            <w:pPr>
              <w:widowControl/>
              <w:jc w:val="center"/>
              <w:rPr>
                <w:rFonts w:ascii="宋体" w:hAnsi="宋体" w:cs="宋体"/>
                <w:kern w:val="0"/>
                <w:szCs w:val="21"/>
                <w:highlight w:val="yellow"/>
              </w:rPr>
            </w:pPr>
          </w:p>
        </w:tc>
        <w:tc>
          <w:tcPr>
            <w:tcW w:w="1089" w:type="dxa"/>
            <w:vAlign w:val="center"/>
          </w:tcPr>
          <w:p>
            <w:pPr>
              <w:widowControl/>
              <w:jc w:val="center"/>
              <w:rPr>
                <w:rFonts w:ascii="宋体" w:hAnsi="宋体" w:cs="宋体"/>
                <w:kern w:val="0"/>
                <w:szCs w:val="21"/>
                <w:highlight w:val="yellow"/>
              </w:rPr>
            </w:pPr>
          </w:p>
        </w:tc>
        <w:tc>
          <w:tcPr>
            <w:tcW w:w="931" w:type="dxa"/>
            <w:vAlign w:val="center"/>
          </w:tcPr>
          <w:p>
            <w:pPr>
              <w:widowControl/>
              <w:jc w:val="center"/>
              <w:rPr>
                <w:rFonts w:ascii="宋体" w:hAnsi="宋体" w:cs="宋体"/>
                <w:kern w:val="0"/>
                <w:szCs w:val="21"/>
                <w:highlight w:val="yellow"/>
              </w:rPr>
            </w:pPr>
          </w:p>
        </w:tc>
        <w:tc>
          <w:tcPr>
            <w:tcW w:w="1056" w:type="dxa"/>
            <w:vAlign w:val="center"/>
          </w:tcPr>
          <w:p>
            <w:pPr>
              <w:widowControl/>
              <w:jc w:val="center"/>
              <w:rPr>
                <w:rFonts w:ascii="宋体" w:hAnsi="宋体" w:cs="宋体"/>
                <w:kern w:val="0"/>
                <w:szCs w:val="21"/>
                <w:highlight w:val="yellow"/>
              </w:rPr>
            </w:pPr>
          </w:p>
        </w:tc>
        <w:tc>
          <w:tcPr>
            <w:tcW w:w="1233" w:type="dxa"/>
            <w:vAlign w:val="center"/>
          </w:tcPr>
          <w:p>
            <w:pPr>
              <w:widowControl/>
              <w:jc w:val="center"/>
              <w:rPr>
                <w:rFonts w:ascii="宋体" w:hAnsi="宋体" w:cs="宋体"/>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1" w:type="dxa"/>
            <w:vAlign w:val="center"/>
          </w:tcPr>
          <w:p>
            <w:pPr>
              <w:widowControl/>
              <w:jc w:val="center"/>
              <w:rPr>
                <w:rFonts w:ascii="宋体" w:hAnsi="宋体" w:cs="宋体"/>
                <w:kern w:val="0"/>
                <w:szCs w:val="21"/>
                <w:highlight w:val="yellow"/>
              </w:rPr>
            </w:pPr>
          </w:p>
        </w:tc>
        <w:tc>
          <w:tcPr>
            <w:tcW w:w="1415" w:type="dxa"/>
            <w:vAlign w:val="center"/>
          </w:tcPr>
          <w:p>
            <w:pPr>
              <w:widowControl/>
              <w:jc w:val="center"/>
              <w:rPr>
                <w:rFonts w:ascii="宋体" w:hAnsi="宋体" w:cs="宋体"/>
                <w:kern w:val="0"/>
                <w:szCs w:val="21"/>
                <w:highlight w:val="yellow"/>
              </w:rPr>
            </w:pPr>
          </w:p>
        </w:tc>
        <w:tc>
          <w:tcPr>
            <w:tcW w:w="1638" w:type="dxa"/>
            <w:vAlign w:val="center"/>
          </w:tcPr>
          <w:p>
            <w:pPr>
              <w:widowControl/>
              <w:jc w:val="center"/>
              <w:rPr>
                <w:rFonts w:ascii="宋体" w:hAnsi="宋体" w:cs="宋体"/>
                <w:kern w:val="0"/>
                <w:szCs w:val="21"/>
                <w:highlight w:val="yellow"/>
              </w:rPr>
            </w:pPr>
          </w:p>
        </w:tc>
        <w:tc>
          <w:tcPr>
            <w:tcW w:w="1303" w:type="dxa"/>
          </w:tcPr>
          <w:p>
            <w:pPr>
              <w:widowControl/>
              <w:jc w:val="center"/>
              <w:rPr>
                <w:rFonts w:ascii="宋体" w:hAnsi="宋体" w:cs="宋体"/>
                <w:kern w:val="0"/>
                <w:szCs w:val="21"/>
                <w:highlight w:val="yellow"/>
              </w:rPr>
            </w:pPr>
          </w:p>
        </w:tc>
        <w:tc>
          <w:tcPr>
            <w:tcW w:w="1089" w:type="dxa"/>
            <w:vAlign w:val="center"/>
          </w:tcPr>
          <w:p>
            <w:pPr>
              <w:widowControl/>
              <w:jc w:val="center"/>
              <w:rPr>
                <w:rFonts w:ascii="宋体" w:hAnsi="宋体" w:cs="宋体"/>
                <w:kern w:val="0"/>
                <w:szCs w:val="21"/>
                <w:highlight w:val="yellow"/>
              </w:rPr>
            </w:pPr>
          </w:p>
        </w:tc>
        <w:tc>
          <w:tcPr>
            <w:tcW w:w="931" w:type="dxa"/>
            <w:vAlign w:val="center"/>
          </w:tcPr>
          <w:p>
            <w:pPr>
              <w:widowControl/>
              <w:jc w:val="center"/>
              <w:rPr>
                <w:rFonts w:ascii="宋体" w:hAnsi="宋体" w:cs="宋体"/>
                <w:kern w:val="0"/>
                <w:szCs w:val="21"/>
                <w:highlight w:val="yellow"/>
              </w:rPr>
            </w:pPr>
          </w:p>
        </w:tc>
        <w:tc>
          <w:tcPr>
            <w:tcW w:w="1056" w:type="dxa"/>
            <w:vAlign w:val="center"/>
          </w:tcPr>
          <w:p>
            <w:pPr>
              <w:widowControl/>
              <w:jc w:val="center"/>
              <w:rPr>
                <w:rFonts w:ascii="宋体" w:hAnsi="宋体" w:cs="宋体"/>
                <w:kern w:val="0"/>
                <w:szCs w:val="21"/>
                <w:highlight w:val="yellow"/>
              </w:rPr>
            </w:pPr>
          </w:p>
        </w:tc>
        <w:tc>
          <w:tcPr>
            <w:tcW w:w="1233" w:type="dxa"/>
            <w:vAlign w:val="center"/>
          </w:tcPr>
          <w:p>
            <w:pPr>
              <w:widowControl/>
              <w:jc w:val="center"/>
              <w:rPr>
                <w:rFonts w:ascii="宋体" w:hAnsi="宋体" w:cs="宋体"/>
                <w:kern w:val="0"/>
                <w:szCs w:val="21"/>
                <w:highlight w:val="yellow"/>
              </w:rPr>
            </w:pPr>
          </w:p>
        </w:tc>
      </w:tr>
    </w:tbl>
    <w:p>
      <w:pPr>
        <w:spacing w:line="360" w:lineRule="auto"/>
        <w:rPr>
          <w:rFonts w:ascii="宋体" w:hAnsi="宋体" w:cs="宋体"/>
          <w:szCs w:val="21"/>
          <w:highlight w:val="yellow"/>
        </w:rPr>
      </w:pPr>
    </w:p>
    <w:p>
      <w:pPr>
        <w:spacing w:line="360" w:lineRule="auto"/>
        <w:ind w:firstLine="420" w:firstLineChars="200"/>
        <w:rPr>
          <w:rFonts w:ascii="宋体" w:hAnsi="宋体" w:cs="宋体"/>
          <w:szCs w:val="21"/>
        </w:rPr>
      </w:pPr>
      <w:r>
        <w:rPr>
          <w:rFonts w:hint="eastAsia" w:ascii="宋体" w:hAnsi="宋体" w:cs="宋体"/>
          <w:szCs w:val="21"/>
        </w:rPr>
        <w:t>注：</w:t>
      </w:r>
      <w:r>
        <w:rPr>
          <w:rFonts w:ascii="宋体" w:hAnsi="宋体" w:cs="宋体"/>
          <w:szCs w:val="21"/>
        </w:rPr>
        <w:t>1.后</w:t>
      </w:r>
      <w:r>
        <w:rPr>
          <w:rFonts w:hint="eastAsia" w:ascii="宋体" w:hAnsi="宋体" w:cs="宋体"/>
          <w:szCs w:val="21"/>
        </w:rPr>
        <w:t>附业绩证明材料（合同签字盖章页及包含服务内容的关键页）。</w:t>
      </w:r>
    </w:p>
    <w:p>
      <w:pPr>
        <w:spacing w:line="360" w:lineRule="auto"/>
        <w:ind w:firstLine="840" w:firstLineChars="400"/>
        <w:rPr>
          <w:rFonts w:ascii="宋体" w:hAnsi="宋体" w:cs="宋体"/>
          <w:szCs w:val="21"/>
        </w:rPr>
      </w:pPr>
      <w:r>
        <w:rPr>
          <w:rFonts w:ascii="宋体" w:hAnsi="宋体" w:cs="宋体"/>
          <w:szCs w:val="21"/>
        </w:rPr>
        <w:t>2.此表所列项目业绩须与后附的业绩证明材料一一对应，否则不予认可。</w:t>
      </w:r>
    </w:p>
    <w:p>
      <w:pPr>
        <w:spacing w:line="360" w:lineRule="auto"/>
        <w:ind w:firstLine="420" w:firstLineChars="200"/>
        <w:rPr>
          <w:rFonts w:ascii="宋体" w:hAnsi="宋体" w:cs="宋体"/>
          <w:szCs w:val="21"/>
        </w:rPr>
      </w:pPr>
    </w:p>
    <w:p>
      <w:pPr>
        <w:pStyle w:val="6"/>
        <w:rPr>
          <w:rFonts w:ascii="宋体" w:hAnsi="宋体" w:cs="宋体"/>
          <w:sz w:val="21"/>
          <w:szCs w:val="21"/>
        </w:rPr>
      </w:pPr>
    </w:p>
    <w:p>
      <w:pPr>
        <w:rPr>
          <w:rFonts w:ascii="宋体" w:hAnsi="宋体" w:cs="宋体"/>
          <w:szCs w:val="21"/>
        </w:rPr>
        <w:sectPr>
          <w:pgSz w:w="11905" w:h="16838"/>
          <w:pgMar w:top="1417" w:right="1417" w:bottom="1417" w:left="1417" w:header="992" w:footer="992" w:gutter="0"/>
          <w:cols w:space="720" w:num="1"/>
          <w:docGrid w:type="lines" w:linePitch="318" w:charSpace="0"/>
        </w:sectPr>
      </w:pPr>
    </w:p>
    <w:p>
      <w:pPr>
        <w:rPr>
          <w:rFonts w:ascii="宋体" w:hAnsi="宋体" w:cs="宋体"/>
          <w:szCs w:val="21"/>
        </w:rPr>
      </w:pPr>
    </w:p>
    <w:p>
      <w:pPr>
        <w:spacing w:line="360" w:lineRule="auto"/>
        <w:ind w:firstLine="422" w:firstLineChars="200"/>
        <w:rPr>
          <w:rFonts w:ascii="宋体" w:hAnsi="宋体" w:cs="宋体"/>
          <w:b/>
          <w:bCs/>
          <w:szCs w:val="21"/>
        </w:rPr>
      </w:pPr>
      <w:r>
        <w:rPr>
          <w:rFonts w:hint="eastAsia" w:ascii="宋体" w:hAnsi="宋体" w:cs="宋体"/>
          <w:b/>
          <w:bCs/>
          <w:szCs w:val="21"/>
        </w:rPr>
        <w:t>（四）承诺书</w:t>
      </w:r>
    </w:p>
    <w:p>
      <w:pPr>
        <w:spacing w:line="400" w:lineRule="exact"/>
        <w:ind w:firstLine="420" w:firstLineChars="200"/>
        <w:rPr>
          <w:color w:val="000000"/>
          <w:szCs w:val="21"/>
        </w:rPr>
      </w:pPr>
      <w:r>
        <w:rPr>
          <w:rFonts w:hint="eastAsia"/>
          <w:color w:val="000000"/>
          <w:szCs w:val="21"/>
          <w:u w:val="single"/>
        </w:rPr>
        <w:t>XX有限公司</w:t>
      </w:r>
      <w:r>
        <w:rPr>
          <w:color w:val="000000"/>
          <w:szCs w:val="21"/>
        </w:rPr>
        <w:t>：</w:t>
      </w:r>
    </w:p>
    <w:p>
      <w:pPr>
        <w:spacing w:line="400" w:lineRule="exact"/>
        <w:ind w:firstLine="420" w:firstLineChars="200"/>
        <w:rPr>
          <w:color w:val="000000"/>
          <w:szCs w:val="21"/>
        </w:rPr>
      </w:pPr>
      <w:r>
        <w:rPr>
          <w:color w:val="000000"/>
          <w:szCs w:val="21"/>
        </w:rPr>
        <w:t>我公司作为</w:t>
      </w:r>
      <w:r>
        <w:rPr>
          <w:rFonts w:hint="eastAsia"/>
          <w:color w:val="000000"/>
          <w:szCs w:val="21"/>
          <w:u w:val="single"/>
        </w:rPr>
        <w:t xml:space="preserve"> </w:t>
      </w:r>
      <w:r>
        <w:rPr>
          <w:color w:val="000000"/>
          <w:szCs w:val="21"/>
          <w:u w:val="single"/>
        </w:rPr>
        <w:t>（</w:t>
      </w:r>
      <w:r>
        <w:rPr>
          <w:rFonts w:hint="eastAsia"/>
          <w:color w:val="000000"/>
          <w:szCs w:val="21"/>
          <w:u w:val="single"/>
        </w:rPr>
        <w:t>采购</w:t>
      </w:r>
      <w:r>
        <w:rPr>
          <w:color w:val="000000"/>
          <w:szCs w:val="21"/>
          <w:u w:val="single"/>
        </w:rPr>
        <w:t xml:space="preserve">项目名称） </w:t>
      </w:r>
      <w:r>
        <w:rPr>
          <w:color w:val="000000"/>
          <w:szCs w:val="21"/>
        </w:rPr>
        <w:t>项目</w:t>
      </w:r>
      <w:r>
        <w:rPr>
          <w:rFonts w:hint="eastAsia"/>
          <w:color w:val="000000"/>
          <w:szCs w:val="21"/>
        </w:rPr>
        <w:t>服务商</w:t>
      </w:r>
      <w:r>
        <w:rPr>
          <w:color w:val="000000"/>
          <w:szCs w:val="21"/>
        </w:rPr>
        <w:t>，在此郑重承诺：我单位在该项目</w:t>
      </w:r>
      <w:r>
        <w:rPr>
          <w:rFonts w:hint="eastAsia"/>
          <w:color w:val="000000"/>
          <w:szCs w:val="21"/>
        </w:rPr>
        <w:t>响应</w:t>
      </w:r>
      <w:r>
        <w:rPr>
          <w:color w:val="000000"/>
          <w:szCs w:val="21"/>
        </w:rPr>
        <w:t>过程中，不存在任何违法违规、弄虚作假行为，且不存在下列情形：</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（1）为采购人不具有独立法人资格的附属机构（单位）；</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（2）与采购人存在利害关系且可能影响采购公正性；</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（3）与本采购项目的其他服务商为同一个单位负责人；</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（4）与本采购项目的其他服务商存在控股、管理关系；</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（5）为本采购项目提供采购代理服务的；</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（6）与本采购项目的采购代理机构同为一个法定代表人的；</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（7）与本采购项目的采购代理机构相互控股或参股的；</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（8）与本采购项目的采购代理机构相互任职或工作的；</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（9）被依法暂停或者取消投标资格；</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（10）被责令停产停业、暂扣或者吊销许可证、暂扣或者吊销执照；</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（11）财产被接管或冻结的，进入清算程序，或被宣告破产，或其他丧失履约能力的情形；</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（12）在最近三年内有骗取中标或严重违约或重大工程质量问题的；</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（13）被工商行政管理机关在全国企业信用信息公示系统中列入严重违法失信企业名单；</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（14）被最高人民法院在“信用中国”网站（www.creditchina.gov.cn）或各级信用信息共享平台中列入失信被执行人名单；</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（15）近三年（2019年1月1日（含）至今）发生诉讼及仲裁情况；</w:t>
      </w:r>
    </w:p>
    <w:p>
      <w:pPr>
        <w:pStyle w:val="58"/>
        <w:snapToGrid w:val="0"/>
        <w:spacing w:line="400" w:lineRule="exact"/>
        <w:ind w:left="1"/>
        <w:rPr>
          <w:rFonts w:ascii="宋体" w:hAnsi="宋体" w:cs="宋体"/>
          <w:color w:val="000000"/>
          <w:szCs w:val="21"/>
        </w:rPr>
      </w:pPr>
      <w:r>
        <w:rPr>
          <w:rFonts w:hint="eastAsia" w:ascii="宋体" w:hAnsi="宋体" w:cs="宋体"/>
          <w:color w:val="000000"/>
          <w:szCs w:val="21"/>
        </w:rPr>
        <w:t>（16）法律法规限定的其他情形。</w:t>
      </w:r>
    </w:p>
    <w:p>
      <w:pPr>
        <w:pStyle w:val="58"/>
        <w:snapToGrid w:val="0"/>
        <w:spacing w:line="400" w:lineRule="exact"/>
        <w:ind w:left="1"/>
        <w:rPr>
          <w:rFonts w:ascii="宋体" w:hAnsi="宋体" w:cs="宋体"/>
          <w:color w:val="000000"/>
          <w:szCs w:val="21"/>
        </w:rPr>
      </w:pPr>
    </w:p>
    <w:p>
      <w:pPr>
        <w:pStyle w:val="58"/>
        <w:snapToGrid w:val="0"/>
        <w:spacing w:line="400" w:lineRule="exact"/>
        <w:ind w:left="1"/>
        <w:rPr>
          <w:color w:val="000000"/>
          <w:szCs w:val="21"/>
        </w:rPr>
      </w:pPr>
      <w:r>
        <w:rPr>
          <w:rFonts w:hint="eastAsia"/>
          <w:color w:val="000000"/>
          <w:szCs w:val="21"/>
        </w:rPr>
        <w:t>附件：</w:t>
      </w:r>
    </w:p>
    <w:p>
      <w:pPr>
        <w:pStyle w:val="58"/>
        <w:snapToGrid w:val="0"/>
        <w:spacing w:line="400" w:lineRule="exact"/>
        <w:ind w:left="1"/>
        <w:rPr>
          <w:color w:val="000000"/>
          <w:szCs w:val="21"/>
        </w:rPr>
      </w:pPr>
      <w:r>
        <w:rPr>
          <w:rFonts w:hint="eastAsia"/>
          <w:color w:val="000000"/>
          <w:szCs w:val="21"/>
        </w:rPr>
        <w:t>（</w:t>
      </w:r>
      <w:r>
        <w:rPr>
          <w:color w:val="000000"/>
          <w:szCs w:val="21"/>
        </w:rPr>
        <w:t>1</w:t>
      </w:r>
      <w:r>
        <w:rPr>
          <w:rFonts w:hint="eastAsia"/>
          <w:color w:val="000000"/>
          <w:szCs w:val="21"/>
        </w:rPr>
        <w:t>）响应文件递交截止时间前</w:t>
      </w:r>
      <w:r>
        <w:rPr>
          <w:color w:val="000000"/>
          <w:szCs w:val="21"/>
        </w:rPr>
        <w:t>1-5</w:t>
      </w:r>
      <w:r>
        <w:rPr>
          <w:rFonts w:hint="eastAsia"/>
          <w:color w:val="000000"/>
          <w:szCs w:val="21"/>
        </w:rPr>
        <w:t>个工作日国家企业信用信息公示系统查询记录截屏。</w:t>
      </w:r>
    </w:p>
    <w:p>
      <w:pPr>
        <w:pStyle w:val="58"/>
        <w:snapToGrid w:val="0"/>
        <w:spacing w:line="400" w:lineRule="exact"/>
        <w:ind w:left="1"/>
        <w:rPr>
          <w:color w:val="000000"/>
          <w:szCs w:val="21"/>
        </w:rPr>
      </w:pPr>
      <w:r>
        <w:rPr>
          <w:rFonts w:hint="eastAsia"/>
          <w:color w:val="000000"/>
          <w:szCs w:val="21"/>
        </w:rPr>
        <w:t>（</w:t>
      </w:r>
      <w:r>
        <w:rPr>
          <w:color w:val="000000"/>
          <w:szCs w:val="21"/>
        </w:rPr>
        <w:t>2</w:t>
      </w:r>
      <w:r>
        <w:rPr>
          <w:rFonts w:hint="eastAsia"/>
          <w:color w:val="000000"/>
          <w:szCs w:val="21"/>
        </w:rPr>
        <w:t>）响应文件递交截止时间前</w:t>
      </w:r>
      <w:r>
        <w:rPr>
          <w:color w:val="000000"/>
          <w:szCs w:val="21"/>
        </w:rPr>
        <w:t>1-5</w:t>
      </w:r>
      <w:r>
        <w:rPr>
          <w:rFonts w:hint="eastAsia"/>
          <w:color w:val="000000"/>
          <w:szCs w:val="21"/>
        </w:rPr>
        <w:t>个工作日信用中国网站查询记录截屏。</w:t>
      </w:r>
    </w:p>
    <w:p>
      <w:pPr>
        <w:pStyle w:val="58"/>
        <w:snapToGrid w:val="0"/>
        <w:spacing w:line="400" w:lineRule="exact"/>
        <w:ind w:left="1"/>
        <w:rPr>
          <w:color w:val="000000"/>
          <w:szCs w:val="21"/>
        </w:rPr>
      </w:pPr>
    </w:p>
    <w:p>
      <w:pPr>
        <w:pStyle w:val="58"/>
        <w:snapToGrid w:val="0"/>
        <w:spacing w:line="400" w:lineRule="exact"/>
        <w:ind w:firstLine="0" w:firstLineChars="0"/>
        <w:rPr>
          <w:color w:val="000000"/>
          <w:szCs w:val="21"/>
          <w:highlight w:val="yellow"/>
        </w:rPr>
      </w:pPr>
    </w:p>
    <w:p>
      <w:pPr>
        <w:pStyle w:val="6"/>
      </w:pPr>
    </w:p>
    <w:p>
      <w:pPr>
        <w:spacing w:line="360" w:lineRule="auto"/>
        <w:ind w:right="420" w:firstLine="3570" w:firstLineChars="1700"/>
        <w:contextualSpacing/>
        <w:rPr>
          <w:rFonts w:ascii="宋体" w:hAnsi="宋体"/>
          <w:szCs w:val="21"/>
        </w:rPr>
      </w:pPr>
      <w:r>
        <w:rPr>
          <w:rFonts w:hint="eastAsia" w:ascii="宋体" w:hAnsi="宋体"/>
          <w:szCs w:val="21"/>
        </w:rPr>
        <w:t>服  务  商：</w:t>
      </w:r>
      <w:r>
        <w:rPr>
          <w:rFonts w:hint="eastAsia" w:ascii="宋体" w:hAnsi="宋体"/>
          <w:szCs w:val="21"/>
          <w:u w:val="single"/>
        </w:rPr>
        <w:t xml:space="preserve">                    </w:t>
      </w:r>
      <w:r>
        <w:rPr>
          <w:rFonts w:hint="eastAsia" w:ascii="宋体" w:hAnsi="宋体"/>
          <w:szCs w:val="21"/>
        </w:rPr>
        <w:t>（加盖单位公章）</w:t>
      </w:r>
    </w:p>
    <w:p>
      <w:pPr>
        <w:spacing w:line="360" w:lineRule="auto"/>
        <w:ind w:right="420" w:firstLine="3570" w:firstLineChars="1700"/>
        <w:contextualSpacing/>
        <w:rPr>
          <w:rFonts w:ascii="宋体" w:hAnsi="宋体"/>
          <w:szCs w:val="21"/>
        </w:rPr>
      </w:pPr>
      <w:r>
        <w:rPr>
          <w:rFonts w:hint="eastAsia" w:ascii="宋体" w:hAnsi="宋体"/>
          <w:szCs w:val="21"/>
        </w:rPr>
        <w:t>法定代表人或授权委托代理人：</w:t>
      </w:r>
      <w:r>
        <w:rPr>
          <w:rFonts w:hint="eastAsia" w:ascii="宋体" w:hAnsi="宋体"/>
          <w:szCs w:val="21"/>
          <w:u w:val="single"/>
        </w:rPr>
        <w:t xml:space="preserve">      </w:t>
      </w:r>
      <w:r>
        <w:rPr>
          <w:rFonts w:hint="eastAsia" w:ascii="宋体" w:hAnsi="宋体"/>
          <w:szCs w:val="21"/>
        </w:rPr>
        <w:t>（签字或盖章）</w:t>
      </w:r>
    </w:p>
    <w:p>
      <w:pPr>
        <w:spacing w:line="360" w:lineRule="auto"/>
        <w:ind w:right="420" w:firstLine="4620" w:firstLineChars="2200"/>
        <w:contextualSpacing/>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6"/>
        <w:rPr>
          <w:szCs w:val="22"/>
        </w:rPr>
      </w:pPr>
    </w:p>
    <w:p>
      <w:pPr>
        <w:pStyle w:val="6"/>
        <w:rPr>
          <w:szCs w:val="22"/>
        </w:rPr>
      </w:pPr>
    </w:p>
    <w:p>
      <w:pPr>
        <w:spacing w:line="360" w:lineRule="auto"/>
        <w:ind w:firstLine="422" w:firstLineChars="200"/>
        <w:rPr>
          <w:rFonts w:ascii="宋体" w:hAnsi="宋体" w:cs="宋体"/>
          <w:b/>
          <w:bCs/>
          <w:szCs w:val="21"/>
        </w:rPr>
      </w:pPr>
      <w:r>
        <w:rPr>
          <w:rFonts w:hint="eastAsia" w:ascii="宋体" w:hAnsi="宋体" w:cs="宋体"/>
          <w:b/>
          <w:bCs/>
          <w:szCs w:val="21"/>
        </w:rPr>
        <w:t>（五）服务商廉洁承诺书</w:t>
      </w:r>
    </w:p>
    <w:p>
      <w:pPr>
        <w:spacing w:line="360" w:lineRule="auto"/>
        <w:ind w:firstLine="420" w:firstLineChars="200"/>
        <w:jc w:val="left"/>
        <w:textAlignment w:val="baseline"/>
        <w:rPr>
          <w:rFonts w:ascii="宋体" w:hAnsi="宋体" w:cs="宋体"/>
          <w:szCs w:val="21"/>
        </w:rPr>
      </w:pPr>
    </w:p>
    <w:p>
      <w:pPr>
        <w:spacing w:line="360" w:lineRule="auto"/>
        <w:jc w:val="center"/>
        <w:textAlignment w:val="baseline"/>
        <w:rPr>
          <w:rFonts w:ascii="宋体" w:hAnsi="宋体" w:cs="宋体"/>
          <w:b/>
          <w:bCs/>
          <w:szCs w:val="21"/>
        </w:rPr>
      </w:pPr>
      <w:r>
        <w:rPr>
          <w:rFonts w:hint="eastAsia" w:ascii="宋体" w:hAnsi="宋体" w:cs="宋体"/>
          <w:b/>
          <w:bCs/>
          <w:szCs w:val="21"/>
        </w:rPr>
        <w:t>服务商廉洁承诺书</w:t>
      </w:r>
    </w:p>
    <w:p>
      <w:pPr>
        <w:spacing w:line="360" w:lineRule="auto"/>
        <w:ind w:firstLine="420" w:firstLineChars="200"/>
        <w:jc w:val="left"/>
        <w:textAlignment w:val="baseline"/>
        <w:rPr>
          <w:rFonts w:ascii="宋体" w:hAnsi="宋体" w:cs="宋体"/>
          <w:szCs w:val="21"/>
        </w:rPr>
      </w:pPr>
      <w:r>
        <w:rPr>
          <w:rFonts w:hint="eastAsia" w:ascii="宋体" w:hAnsi="宋体" w:cs="宋体"/>
          <w:szCs w:val="21"/>
        </w:rPr>
        <w:t>我单位参加了</w:t>
      </w:r>
      <w:r>
        <w:rPr>
          <w:rFonts w:hint="eastAsia" w:ascii="宋体" w:hAnsi="宋体" w:cs="宋体"/>
          <w:szCs w:val="21"/>
          <w:u w:val="single"/>
        </w:rPr>
        <w:t xml:space="preserve">                 </w:t>
      </w:r>
      <w:r>
        <w:rPr>
          <w:rFonts w:hint="eastAsia" w:ascii="宋体" w:hAnsi="宋体" w:cs="宋体"/>
          <w:szCs w:val="21"/>
        </w:rPr>
        <w:t>（项目名称）采购项目的询比，在此郑重承诺：</w:t>
      </w:r>
    </w:p>
    <w:p>
      <w:pPr>
        <w:spacing w:line="360" w:lineRule="auto"/>
        <w:ind w:firstLine="420" w:firstLineChars="200"/>
        <w:jc w:val="left"/>
        <w:textAlignment w:val="baseline"/>
        <w:rPr>
          <w:rFonts w:ascii="宋体" w:hAnsi="宋体" w:cs="宋体"/>
          <w:szCs w:val="21"/>
        </w:rPr>
      </w:pPr>
      <w:r>
        <w:rPr>
          <w:rFonts w:hint="eastAsia" w:ascii="宋体" w:hAnsi="宋体" w:cs="宋体"/>
          <w:szCs w:val="21"/>
        </w:rPr>
        <w:t>在本次采购活动中，我单位将自觉遵守法律法规和采购文件的有关规定开展询比活动。我单位不以任何形式向采购方任何人员及询比小组成员赠送各种礼品、礼金（礼券）；不串通参加采购活动，不弄虚作假，不拉拢相关人员影响采购工作的公正性。</w:t>
      </w:r>
    </w:p>
    <w:p>
      <w:pPr>
        <w:spacing w:line="360" w:lineRule="auto"/>
        <w:ind w:firstLine="420" w:firstLineChars="200"/>
        <w:jc w:val="left"/>
        <w:textAlignment w:val="baseline"/>
        <w:rPr>
          <w:rFonts w:ascii="宋体" w:hAnsi="宋体" w:cs="宋体"/>
          <w:szCs w:val="21"/>
        </w:rPr>
      </w:pPr>
      <w:r>
        <w:rPr>
          <w:rFonts w:hint="eastAsia" w:ascii="宋体" w:hAnsi="宋体" w:cs="宋体"/>
          <w:szCs w:val="21"/>
        </w:rPr>
        <w:t>我们将认真履行以上承诺，并接受监督机关的监督检查，若有违反，将承担相应的行政责任和刑事责任。</w:t>
      </w: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right="420" w:firstLine="3570" w:firstLineChars="1700"/>
        <w:contextualSpacing/>
        <w:rPr>
          <w:rFonts w:ascii="宋体" w:hAnsi="宋体"/>
          <w:szCs w:val="21"/>
        </w:rPr>
      </w:pPr>
      <w:r>
        <w:rPr>
          <w:rFonts w:hint="eastAsia" w:ascii="宋体" w:hAnsi="宋体"/>
          <w:szCs w:val="21"/>
        </w:rPr>
        <w:t>承诺单位：</w:t>
      </w:r>
      <w:r>
        <w:rPr>
          <w:rFonts w:hint="eastAsia" w:ascii="宋体" w:hAnsi="宋体"/>
          <w:szCs w:val="21"/>
          <w:u w:val="single"/>
        </w:rPr>
        <w:t xml:space="preserve">                    </w:t>
      </w:r>
      <w:r>
        <w:rPr>
          <w:rFonts w:hint="eastAsia" w:ascii="宋体" w:hAnsi="宋体"/>
          <w:szCs w:val="21"/>
        </w:rPr>
        <w:t>（加盖单位公章）</w:t>
      </w:r>
    </w:p>
    <w:p>
      <w:pPr>
        <w:spacing w:line="360" w:lineRule="auto"/>
        <w:ind w:right="420" w:firstLine="3570" w:firstLineChars="1700"/>
        <w:contextualSpacing/>
        <w:rPr>
          <w:rFonts w:ascii="宋体" w:hAnsi="宋体"/>
          <w:szCs w:val="21"/>
        </w:rPr>
      </w:pPr>
      <w:r>
        <w:rPr>
          <w:rFonts w:hint="eastAsia" w:ascii="宋体" w:hAnsi="宋体"/>
          <w:szCs w:val="21"/>
        </w:rPr>
        <w:t>法定代表人或授权委托代理人：</w:t>
      </w:r>
      <w:r>
        <w:rPr>
          <w:rFonts w:hint="eastAsia" w:ascii="宋体" w:hAnsi="宋体"/>
          <w:szCs w:val="21"/>
          <w:u w:val="single"/>
        </w:rPr>
        <w:t xml:space="preserve">      </w:t>
      </w:r>
      <w:r>
        <w:rPr>
          <w:rFonts w:hint="eastAsia" w:ascii="宋体" w:hAnsi="宋体"/>
          <w:szCs w:val="21"/>
        </w:rPr>
        <w:t>（签字或盖章）</w:t>
      </w:r>
    </w:p>
    <w:p>
      <w:pPr>
        <w:spacing w:line="360" w:lineRule="auto"/>
        <w:ind w:right="420" w:firstLine="4620" w:firstLineChars="2200"/>
        <w:contextualSpacing/>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0" w:firstLineChars="200"/>
        <w:jc w:val="left"/>
        <w:textAlignment w:val="baseline"/>
        <w:rPr>
          <w:rFonts w:ascii="宋体" w:hAnsi="宋体" w:cs="宋体"/>
          <w:szCs w:val="21"/>
        </w:rPr>
      </w:pPr>
    </w:p>
    <w:p>
      <w:pPr>
        <w:spacing w:line="360" w:lineRule="auto"/>
        <w:ind w:firstLine="422" w:firstLineChars="200"/>
        <w:rPr>
          <w:rFonts w:ascii="宋体" w:hAnsi="宋体" w:cs="宋体"/>
          <w:b/>
          <w:bCs/>
          <w:szCs w:val="21"/>
        </w:rPr>
      </w:pPr>
      <w:r>
        <w:rPr>
          <w:rFonts w:hint="eastAsia" w:ascii="宋体" w:hAnsi="宋体" w:cs="宋体"/>
          <w:b/>
          <w:bCs/>
          <w:szCs w:val="21"/>
        </w:rPr>
        <w:t>（六）服务商根据资格要求认为还应提供的其他证明材料</w:t>
      </w:r>
    </w:p>
    <w:p>
      <w:pPr>
        <w:pStyle w:val="58"/>
        <w:spacing w:line="360" w:lineRule="auto"/>
        <w:ind w:right="108"/>
        <w:jc w:val="left"/>
        <w:outlineLvl w:val="3"/>
        <w:rPr>
          <w:color w:val="000000"/>
          <w:szCs w:val="21"/>
        </w:rPr>
        <w:sectPr>
          <w:pgSz w:w="11905" w:h="16838"/>
          <w:pgMar w:top="1417" w:right="1417" w:bottom="1417" w:left="1417" w:header="992" w:footer="992" w:gutter="0"/>
          <w:cols w:space="720" w:num="1"/>
          <w:docGrid w:type="lines" w:linePitch="318" w:charSpace="0"/>
        </w:sectPr>
      </w:pPr>
      <w:r>
        <w:rPr>
          <w:rFonts w:hint="eastAsia"/>
          <w:color w:val="000000"/>
          <w:szCs w:val="21"/>
        </w:rPr>
        <w:t>注：有利于服务商的其他材料，格式自拟。</w:t>
      </w:r>
    </w:p>
    <w:p>
      <w:pPr>
        <w:pStyle w:val="5"/>
        <w:spacing w:before="0" w:after="0" w:line="360" w:lineRule="auto"/>
        <w:jc w:val="center"/>
        <w:rPr>
          <w:rFonts w:ascii="黑体" w:hAnsi="黑体" w:eastAsia="黑体"/>
          <w:sz w:val="24"/>
          <w:szCs w:val="24"/>
        </w:rPr>
      </w:pPr>
      <w:bookmarkStart w:id="651" w:name="_Toc26991"/>
      <w:bookmarkStart w:id="652" w:name="_Toc26528"/>
      <w:bookmarkStart w:id="653" w:name="_Toc16936"/>
      <w:r>
        <w:rPr>
          <w:rFonts w:hint="eastAsia" w:ascii="黑体" w:hAnsi="黑体" w:eastAsia="黑体"/>
          <w:sz w:val="24"/>
          <w:szCs w:val="24"/>
        </w:rPr>
        <w:t>七、服务方案</w:t>
      </w:r>
      <w:bookmarkEnd w:id="651"/>
      <w:bookmarkEnd w:id="652"/>
    </w:p>
    <w:p>
      <w:pPr>
        <w:pStyle w:val="6"/>
        <w:rPr>
          <w:szCs w:val="22"/>
        </w:rPr>
      </w:pPr>
    </w:p>
    <w:p>
      <w:pPr>
        <w:pStyle w:val="58"/>
        <w:spacing w:line="360" w:lineRule="auto"/>
        <w:ind w:right="108" w:firstLine="840" w:firstLineChars="400"/>
        <w:jc w:val="left"/>
        <w:outlineLvl w:val="3"/>
        <w:rPr>
          <w:color w:val="000000"/>
          <w:szCs w:val="21"/>
        </w:rPr>
      </w:pPr>
      <w:r>
        <w:rPr>
          <w:rFonts w:hint="eastAsia"/>
          <w:color w:val="000000"/>
          <w:szCs w:val="21"/>
        </w:rPr>
        <w:t>注：格式自拟，包含但不限于第四章“服务商服务要求”及以下内容。</w:t>
      </w:r>
    </w:p>
    <w:p>
      <w:pPr>
        <w:pStyle w:val="58"/>
        <w:spacing w:line="360" w:lineRule="auto"/>
        <w:ind w:right="108"/>
        <w:jc w:val="left"/>
        <w:outlineLvl w:val="3"/>
        <w:rPr>
          <w:color w:val="000000"/>
          <w:szCs w:val="21"/>
        </w:rPr>
      </w:pPr>
    </w:p>
    <w:p>
      <w:pPr>
        <w:pStyle w:val="58"/>
        <w:spacing w:line="360" w:lineRule="auto"/>
        <w:ind w:right="108" w:firstLine="850" w:firstLineChars="405"/>
        <w:jc w:val="left"/>
        <w:outlineLvl w:val="3"/>
        <w:rPr>
          <w:color w:val="000000"/>
          <w:szCs w:val="21"/>
        </w:rPr>
      </w:pPr>
      <w:bookmarkStart w:id="654" w:name="_Toc7416_WPSOffice_Level1"/>
      <w:r>
        <w:rPr>
          <w:rFonts w:hint="eastAsia"/>
          <w:color w:val="000000"/>
          <w:szCs w:val="21"/>
        </w:rPr>
        <w:t>一、服务方案</w:t>
      </w:r>
      <w:bookmarkEnd w:id="654"/>
    </w:p>
    <w:p>
      <w:pPr>
        <w:pStyle w:val="58"/>
        <w:spacing w:line="360" w:lineRule="auto"/>
        <w:ind w:right="108" w:firstLine="850" w:firstLineChars="405"/>
        <w:jc w:val="left"/>
        <w:outlineLvl w:val="3"/>
        <w:rPr>
          <w:color w:val="000000"/>
          <w:szCs w:val="21"/>
        </w:rPr>
      </w:pPr>
      <w:bookmarkStart w:id="655" w:name="_Toc19044_WPSOffice_Level1"/>
      <w:r>
        <w:rPr>
          <w:rFonts w:hint="eastAsia"/>
          <w:color w:val="000000"/>
          <w:szCs w:val="21"/>
        </w:rPr>
        <w:t>二、服务范围</w:t>
      </w:r>
      <w:bookmarkEnd w:id="655"/>
      <w:r>
        <w:rPr>
          <w:color w:val="000000"/>
          <w:szCs w:val="21"/>
        </w:rPr>
        <w:t xml:space="preserve"> </w:t>
      </w:r>
    </w:p>
    <w:p>
      <w:pPr>
        <w:pStyle w:val="58"/>
        <w:spacing w:line="360" w:lineRule="auto"/>
        <w:ind w:right="108" w:firstLine="850" w:firstLineChars="405"/>
        <w:jc w:val="left"/>
        <w:outlineLvl w:val="3"/>
        <w:rPr>
          <w:color w:val="000000"/>
          <w:szCs w:val="21"/>
        </w:rPr>
      </w:pPr>
      <w:bookmarkStart w:id="656" w:name="_Toc4324_WPSOffice_Level1"/>
      <w:r>
        <w:rPr>
          <w:rFonts w:hint="eastAsia"/>
          <w:color w:val="000000"/>
          <w:szCs w:val="21"/>
        </w:rPr>
        <w:t>三、</w:t>
      </w:r>
      <w:bookmarkEnd w:id="656"/>
      <w:r>
        <w:rPr>
          <w:rFonts w:hint="eastAsia"/>
          <w:color w:val="000000"/>
          <w:szCs w:val="21"/>
        </w:rPr>
        <w:t>服务期限</w:t>
      </w:r>
    </w:p>
    <w:p>
      <w:pPr>
        <w:pStyle w:val="58"/>
        <w:spacing w:line="360" w:lineRule="auto"/>
        <w:ind w:right="108" w:firstLine="850" w:firstLineChars="405"/>
        <w:jc w:val="left"/>
        <w:outlineLvl w:val="3"/>
        <w:rPr>
          <w:color w:val="000000"/>
          <w:szCs w:val="21"/>
        </w:rPr>
      </w:pPr>
      <w:r>
        <w:rPr>
          <w:rFonts w:hint="eastAsia"/>
          <w:color w:val="000000"/>
          <w:szCs w:val="21"/>
        </w:rPr>
        <w:t>四、服务质量目标</w:t>
      </w:r>
    </w:p>
    <w:p>
      <w:pPr>
        <w:pStyle w:val="58"/>
        <w:spacing w:line="360" w:lineRule="auto"/>
        <w:ind w:right="108" w:firstLine="850" w:firstLineChars="405"/>
        <w:jc w:val="left"/>
        <w:outlineLvl w:val="3"/>
        <w:rPr>
          <w:color w:val="000000"/>
          <w:szCs w:val="21"/>
        </w:rPr>
      </w:pPr>
      <w:r>
        <w:rPr>
          <w:rFonts w:hint="eastAsia"/>
          <w:color w:val="000000"/>
          <w:szCs w:val="21"/>
        </w:rPr>
        <w:t>五、方案及组织措施</w:t>
      </w:r>
    </w:p>
    <w:p>
      <w:pPr>
        <w:pStyle w:val="58"/>
        <w:spacing w:line="360" w:lineRule="auto"/>
        <w:ind w:right="108" w:firstLine="850" w:firstLineChars="405"/>
        <w:jc w:val="left"/>
        <w:outlineLvl w:val="3"/>
        <w:rPr>
          <w:color w:val="000000"/>
          <w:szCs w:val="21"/>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pStyle w:val="6"/>
        <w:rPr>
          <w:szCs w:val="22"/>
        </w:rPr>
      </w:pPr>
    </w:p>
    <w:p>
      <w:pPr>
        <w:rPr>
          <w:szCs w:val="22"/>
        </w:rPr>
      </w:pPr>
    </w:p>
    <w:p>
      <w:pPr>
        <w:pStyle w:val="5"/>
        <w:spacing w:before="0" w:after="0" w:line="360" w:lineRule="auto"/>
        <w:jc w:val="left"/>
        <w:rPr>
          <w:rFonts w:ascii="黑体" w:hAnsi="黑体" w:eastAsia="黑体"/>
          <w:sz w:val="24"/>
          <w:szCs w:val="24"/>
        </w:rPr>
      </w:pPr>
    </w:p>
    <w:p>
      <w:pPr>
        <w:pStyle w:val="6"/>
        <w:rPr>
          <w:sz w:val="20"/>
        </w:rPr>
      </w:pPr>
    </w:p>
    <w:p>
      <w:pPr>
        <w:pStyle w:val="6"/>
      </w:pPr>
    </w:p>
    <w:p>
      <w:pPr>
        <w:pStyle w:val="5"/>
        <w:spacing w:before="0" w:after="0" w:line="360" w:lineRule="auto"/>
        <w:jc w:val="center"/>
        <w:rPr>
          <w:rFonts w:ascii="黑体" w:hAnsi="黑体" w:eastAsia="黑体"/>
          <w:sz w:val="24"/>
          <w:szCs w:val="24"/>
        </w:rPr>
      </w:pPr>
      <w:r>
        <w:rPr>
          <w:rFonts w:hint="eastAsia" w:ascii="黑体" w:hAnsi="黑体" w:eastAsia="黑体"/>
          <w:sz w:val="24"/>
          <w:szCs w:val="24"/>
        </w:rPr>
        <w:t>八、</w:t>
      </w:r>
      <w:bookmarkEnd w:id="636"/>
      <w:r>
        <w:rPr>
          <w:rFonts w:hint="eastAsia" w:ascii="黑体" w:hAnsi="黑体" w:eastAsia="黑体"/>
          <w:sz w:val="24"/>
          <w:szCs w:val="24"/>
        </w:rPr>
        <w:t>响应文件偏差表</w:t>
      </w:r>
      <w:bookmarkEnd w:id="637"/>
      <w:bookmarkEnd w:id="638"/>
      <w:bookmarkEnd w:id="653"/>
    </w:p>
    <w:tbl>
      <w:tblPr>
        <w:tblStyle w:val="30"/>
        <w:tblpPr w:leftFromText="180" w:rightFromText="180" w:vertAnchor="text" w:horzAnchor="page" w:tblpX="1567" w:tblpY="248"/>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728"/>
        <w:gridCol w:w="1984"/>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spacing w:line="276" w:lineRule="auto"/>
              <w:contextualSpacing/>
              <w:jc w:val="center"/>
              <w:rPr>
                <w:rFonts w:ascii="宋体" w:hAnsi="宋体"/>
                <w:szCs w:val="21"/>
              </w:rPr>
            </w:pPr>
            <w:r>
              <w:rPr>
                <w:rFonts w:hint="eastAsia" w:ascii="宋体" w:hAnsi="宋体"/>
                <w:szCs w:val="21"/>
              </w:rPr>
              <w:t>序号</w:t>
            </w:r>
          </w:p>
        </w:tc>
        <w:tc>
          <w:tcPr>
            <w:tcW w:w="2728" w:type="dxa"/>
            <w:vAlign w:val="center"/>
          </w:tcPr>
          <w:p>
            <w:pPr>
              <w:wordWrap w:val="0"/>
              <w:spacing w:line="276" w:lineRule="auto"/>
              <w:contextualSpacing/>
              <w:jc w:val="center"/>
              <w:rPr>
                <w:rFonts w:ascii="宋体" w:hAnsi="宋体"/>
                <w:szCs w:val="21"/>
              </w:rPr>
            </w:pPr>
            <w:r>
              <w:rPr>
                <w:rFonts w:hint="eastAsia" w:ascii="宋体" w:hAnsi="宋体"/>
                <w:szCs w:val="21"/>
              </w:rPr>
              <w:t>采购文件章节及条款号</w:t>
            </w:r>
          </w:p>
        </w:tc>
        <w:tc>
          <w:tcPr>
            <w:tcW w:w="1984" w:type="dxa"/>
            <w:vAlign w:val="center"/>
          </w:tcPr>
          <w:p>
            <w:pPr>
              <w:wordWrap w:val="0"/>
              <w:spacing w:line="276" w:lineRule="auto"/>
              <w:contextualSpacing/>
              <w:jc w:val="center"/>
              <w:rPr>
                <w:rFonts w:ascii="宋体" w:hAnsi="宋体"/>
                <w:szCs w:val="21"/>
              </w:rPr>
            </w:pPr>
            <w:r>
              <w:rPr>
                <w:rFonts w:hint="eastAsia" w:ascii="宋体" w:hAnsi="宋体"/>
                <w:szCs w:val="21"/>
              </w:rPr>
              <w:t>响应文件章节及</w:t>
            </w:r>
          </w:p>
          <w:p>
            <w:pPr>
              <w:wordWrap w:val="0"/>
              <w:spacing w:line="276" w:lineRule="auto"/>
              <w:contextualSpacing/>
              <w:jc w:val="center"/>
              <w:rPr>
                <w:rFonts w:ascii="宋体" w:hAnsi="宋体"/>
                <w:szCs w:val="21"/>
              </w:rPr>
            </w:pPr>
            <w:r>
              <w:rPr>
                <w:rFonts w:hint="eastAsia" w:ascii="宋体" w:hAnsi="宋体"/>
                <w:szCs w:val="21"/>
              </w:rPr>
              <w:t>条款号</w:t>
            </w:r>
          </w:p>
        </w:tc>
        <w:tc>
          <w:tcPr>
            <w:tcW w:w="2268" w:type="dxa"/>
            <w:vAlign w:val="center"/>
          </w:tcPr>
          <w:p>
            <w:pPr>
              <w:widowControl/>
              <w:spacing w:line="276" w:lineRule="auto"/>
              <w:jc w:val="center"/>
              <w:rPr>
                <w:rFonts w:ascii="宋体" w:hAnsi="宋体"/>
                <w:szCs w:val="21"/>
              </w:rPr>
            </w:pPr>
            <w:r>
              <w:rPr>
                <w:rFonts w:hint="eastAsia" w:ascii="宋体" w:hAnsi="宋体"/>
                <w:szCs w:val="21"/>
              </w:rPr>
              <w:t>响应文件中的</w:t>
            </w:r>
          </w:p>
          <w:p>
            <w:pPr>
              <w:widowControl/>
              <w:spacing w:line="276" w:lineRule="auto"/>
              <w:jc w:val="center"/>
              <w:rPr>
                <w:rFonts w:ascii="宋体" w:hAnsi="宋体"/>
                <w:szCs w:val="21"/>
              </w:rPr>
            </w:pPr>
            <w:r>
              <w:rPr>
                <w:rFonts w:hint="eastAsia" w:ascii="宋体" w:hAnsi="宋体"/>
                <w:szCs w:val="21"/>
              </w:rPr>
              <w:t>页码</w:t>
            </w:r>
          </w:p>
        </w:tc>
        <w:tc>
          <w:tcPr>
            <w:tcW w:w="1701" w:type="dxa"/>
            <w:vAlign w:val="center"/>
          </w:tcPr>
          <w:p>
            <w:pPr>
              <w:wordWrap w:val="0"/>
              <w:spacing w:line="276" w:lineRule="auto"/>
              <w:contextualSpacing/>
              <w:jc w:val="center"/>
              <w:rPr>
                <w:rFonts w:ascii="宋体" w:hAnsi="宋体"/>
                <w:szCs w:val="21"/>
              </w:rPr>
            </w:pPr>
            <w:r>
              <w:rPr>
                <w:rFonts w:hint="eastAsia" w:ascii="宋体" w:hAnsi="宋体"/>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ordWrap w:val="0"/>
              <w:spacing w:line="276" w:lineRule="auto"/>
              <w:contextualSpacing/>
              <w:jc w:val="center"/>
              <w:rPr>
                <w:rFonts w:ascii="宋体" w:hAnsi="宋体"/>
                <w:szCs w:val="21"/>
              </w:rPr>
            </w:pPr>
            <w:r>
              <w:rPr>
                <w:rFonts w:hint="eastAsia" w:ascii="宋体" w:hAnsi="宋体"/>
                <w:szCs w:val="21"/>
              </w:rPr>
              <w:t>1</w:t>
            </w:r>
          </w:p>
        </w:tc>
        <w:tc>
          <w:tcPr>
            <w:tcW w:w="2728" w:type="dxa"/>
            <w:vAlign w:val="center"/>
          </w:tcPr>
          <w:p>
            <w:pPr>
              <w:wordWrap w:val="0"/>
              <w:spacing w:line="276" w:lineRule="auto"/>
              <w:contextualSpacing/>
              <w:jc w:val="center"/>
              <w:rPr>
                <w:rFonts w:ascii="宋体" w:hAnsi="宋体"/>
                <w:szCs w:val="21"/>
              </w:rPr>
            </w:pPr>
          </w:p>
        </w:tc>
        <w:tc>
          <w:tcPr>
            <w:tcW w:w="1984" w:type="dxa"/>
            <w:vAlign w:val="center"/>
          </w:tcPr>
          <w:p>
            <w:pPr>
              <w:wordWrap w:val="0"/>
              <w:spacing w:line="276" w:lineRule="auto"/>
              <w:contextualSpacing/>
              <w:jc w:val="center"/>
              <w:rPr>
                <w:rFonts w:ascii="宋体" w:hAnsi="宋体"/>
                <w:szCs w:val="21"/>
              </w:rPr>
            </w:pPr>
          </w:p>
        </w:tc>
        <w:tc>
          <w:tcPr>
            <w:tcW w:w="2268" w:type="dxa"/>
            <w:vAlign w:val="center"/>
          </w:tcPr>
          <w:p>
            <w:pPr>
              <w:wordWrap w:val="0"/>
              <w:spacing w:line="276" w:lineRule="auto"/>
              <w:contextualSpacing/>
              <w:jc w:val="center"/>
              <w:rPr>
                <w:rFonts w:ascii="宋体" w:hAnsi="宋体"/>
                <w:szCs w:val="21"/>
              </w:rPr>
            </w:pPr>
          </w:p>
        </w:tc>
        <w:tc>
          <w:tcPr>
            <w:tcW w:w="1701" w:type="dxa"/>
            <w:vAlign w:val="center"/>
          </w:tcPr>
          <w:p>
            <w:pPr>
              <w:wordWrap w:val="0"/>
              <w:spacing w:line="276" w:lineRule="auto"/>
              <w:contextualSpacing/>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ordWrap w:val="0"/>
              <w:spacing w:line="276" w:lineRule="auto"/>
              <w:contextualSpacing/>
              <w:jc w:val="center"/>
              <w:rPr>
                <w:rFonts w:ascii="宋体" w:hAnsi="宋体"/>
                <w:szCs w:val="21"/>
              </w:rPr>
            </w:pPr>
            <w:r>
              <w:rPr>
                <w:rFonts w:hint="eastAsia" w:ascii="宋体" w:hAnsi="宋体"/>
                <w:szCs w:val="21"/>
              </w:rPr>
              <w:t>2</w:t>
            </w:r>
          </w:p>
        </w:tc>
        <w:tc>
          <w:tcPr>
            <w:tcW w:w="2728" w:type="dxa"/>
            <w:vAlign w:val="center"/>
          </w:tcPr>
          <w:p>
            <w:pPr>
              <w:wordWrap w:val="0"/>
              <w:spacing w:line="276" w:lineRule="auto"/>
              <w:contextualSpacing/>
              <w:jc w:val="center"/>
              <w:rPr>
                <w:rFonts w:ascii="宋体" w:hAnsi="宋体"/>
                <w:szCs w:val="21"/>
              </w:rPr>
            </w:pPr>
          </w:p>
        </w:tc>
        <w:tc>
          <w:tcPr>
            <w:tcW w:w="1984" w:type="dxa"/>
            <w:vAlign w:val="center"/>
          </w:tcPr>
          <w:p>
            <w:pPr>
              <w:wordWrap w:val="0"/>
              <w:spacing w:line="276" w:lineRule="auto"/>
              <w:contextualSpacing/>
              <w:jc w:val="center"/>
              <w:rPr>
                <w:rFonts w:ascii="宋体" w:hAnsi="宋体"/>
                <w:szCs w:val="21"/>
              </w:rPr>
            </w:pPr>
          </w:p>
        </w:tc>
        <w:tc>
          <w:tcPr>
            <w:tcW w:w="2268" w:type="dxa"/>
            <w:vAlign w:val="center"/>
          </w:tcPr>
          <w:p>
            <w:pPr>
              <w:wordWrap w:val="0"/>
              <w:spacing w:line="276" w:lineRule="auto"/>
              <w:contextualSpacing/>
              <w:jc w:val="center"/>
              <w:rPr>
                <w:rFonts w:ascii="宋体" w:hAnsi="宋体"/>
                <w:szCs w:val="21"/>
              </w:rPr>
            </w:pPr>
          </w:p>
        </w:tc>
        <w:tc>
          <w:tcPr>
            <w:tcW w:w="1701" w:type="dxa"/>
            <w:vAlign w:val="center"/>
          </w:tcPr>
          <w:p>
            <w:pPr>
              <w:wordWrap w:val="0"/>
              <w:spacing w:line="276" w:lineRule="auto"/>
              <w:contextualSpacing/>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ordWrap w:val="0"/>
              <w:spacing w:line="276" w:lineRule="auto"/>
              <w:contextualSpacing/>
              <w:jc w:val="center"/>
              <w:rPr>
                <w:rFonts w:ascii="宋体" w:hAnsi="宋体"/>
                <w:szCs w:val="21"/>
              </w:rPr>
            </w:pPr>
            <w:r>
              <w:rPr>
                <w:rFonts w:hint="eastAsia" w:ascii="宋体" w:hAnsi="宋体"/>
                <w:szCs w:val="21"/>
              </w:rPr>
              <w:t>3</w:t>
            </w:r>
          </w:p>
        </w:tc>
        <w:tc>
          <w:tcPr>
            <w:tcW w:w="2728" w:type="dxa"/>
            <w:vAlign w:val="center"/>
          </w:tcPr>
          <w:p>
            <w:pPr>
              <w:wordWrap w:val="0"/>
              <w:spacing w:line="276" w:lineRule="auto"/>
              <w:contextualSpacing/>
              <w:jc w:val="center"/>
              <w:rPr>
                <w:rFonts w:ascii="宋体" w:hAnsi="宋体"/>
                <w:szCs w:val="21"/>
              </w:rPr>
            </w:pPr>
          </w:p>
        </w:tc>
        <w:tc>
          <w:tcPr>
            <w:tcW w:w="1984" w:type="dxa"/>
            <w:vAlign w:val="center"/>
          </w:tcPr>
          <w:p>
            <w:pPr>
              <w:wordWrap w:val="0"/>
              <w:spacing w:line="276" w:lineRule="auto"/>
              <w:contextualSpacing/>
              <w:jc w:val="center"/>
              <w:rPr>
                <w:rFonts w:ascii="宋体" w:hAnsi="宋体"/>
                <w:szCs w:val="21"/>
              </w:rPr>
            </w:pPr>
          </w:p>
        </w:tc>
        <w:tc>
          <w:tcPr>
            <w:tcW w:w="2268" w:type="dxa"/>
            <w:vAlign w:val="center"/>
          </w:tcPr>
          <w:p>
            <w:pPr>
              <w:wordWrap w:val="0"/>
              <w:spacing w:line="276" w:lineRule="auto"/>
              <w:contextualSpacing/>
              <w:jc w:val="center"/>
              <w:rPr>
                <w:rFonts w:ascii="宋体" w:hAnsi="宋体"/>
                <w:szCs w:val="21"/>
              </w:rPr>
            </w:pPr>
          </w:p>
        </w:tc>
        <w:tc>
          <w:tcPr>
            <w:tcW w:w="1701" w:type="dxa"/>
            <w:vAlign w:val="center"/>
          </w:tcPr>
          <w:p>
            <w:pPr>
              <w:wordWrap w:val="0"/>
              <w:spacing w:line="276" w:lineRule="auto"/>
              <w:contextualSpacing/>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ordWrap w:val="0"/>
              <w:spacing w:line="276" w:lineRule="auto"/>
              <w:contextualSpacing/>
              <w:jc w:val="center"/>
              <w:rPr>
                <w:rFonts w:ascii="宋体" w:hAnsi="宋体"/>
                <w:szCs w:val="21"/>
              </w:rPr>
            </w:pPr>
            <w:r>
              <w:rPr>
                <w:rFonts w:hint="eastAsia" w:ascii="宋体" w:hAnsi="宋体"/>
                <w:szCs w:val="21"/>
              </w:rPr>
              <w:t>4</w:t>
            </w:r>
          </w:p>
        </w:tc>
        <w:tc>
          <w:tcPr>
            <w:tcW w:w="2728" w:type="dxa"/>
            <w:vAlign w:val="center"/>
          </w:tcPr>
          <w:p>
            <w:pPr>
              <w:wordWrap w:val="0"/>
              <w:spacing w:line="276" w:lineRule="auto"/>
              <w:contextualSpacing/>
              <w:jc w:val="center"/>
              <w:rPr>
                <w:rFonts w:ascii="宋体" w:hAnsi="宋体"/>
                <w:szCs w:val="21"/>
              </w:rPr>
            </w:pPr>
          </w:p>
        </w:tc>
        <w:tc>
          <w:tcPr>
            <w:tcW w:w="1984" w:type="dxa"/>
            <w:vAlign w:val="center"/>
          </w:tcPr>
          <w:p>
            <w:pPr>
              <w:wordWrap w:val="0"/>
              <w:spacing w:line="276" w:lineRule="auto"/>
              <w:contextualSpacing/>
              <w:jc w:val="center"/>
              <w:rPr>
                <w:rFonts w:ascii="宋体" w:hAnsi="宋体"/>
                <w:szCs w:val="21"/>
              </w:rPr>
            </w:pPr>
          </w:p>
        </w:tc>
        <w:tc>
          <w:tcPr>
            <w:tcW w:w="2268" w:type="dxa"/>
            <w:vAlign w:val="center"/>
          </w:tcPr>
          <w:p>
            <w:pPr>
              <w:wordWrap w:val="0"/>
              <w:spacing w:line="276" w:lineRule="auto"/>
              <w:contextualSpacing/>
              <w:jc w:val="center"/>
              <w:rPr>
                <w:rFonts w:ascii="宋体" w:hAnsi="宋体"/>
                <w:szCs w:val="21"/>
              </w:rPr>
            </w:pPr>
          </w:p>
        </w:tc>
        <w:tc>
          <w:tcPr>
            <w:tcW w:w="1701" w:type="dxa"/>
            <w:vAlign w:val="center"/>
          </w:tcPr>
          <w:p>
            <w:pPr>
              <w:wordWrap w:val="0"/>
              <w:spacing w:line="276" w:lineRule="auto"/>
              <w:contextualSpacing/>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ordWrap w:val="0"/>
              <w:spacing w:line="276" w:lineRule="auto"/>
              <w:contextualSpacing/>
              <w:jc w:val="center"/>
              <w:rPr>
                <w:rFonts w:ascii="宋体" w:hAnsi="宋体"/>
                <w:szCs w:val="21"/>
              </w:rPr>
            </w:pPr>
            <w:r>
              <w:rPr>
                <w:rFonts w:hint="eastAsia" w:ascii="宋体" w:hAnsi="宋体"/>
                <w:szCs w:val="21"/>
              </w:rPr>
              <w:t>5</w:t>
            </w:r>
          </w:p>
        </w:tc>
        <w:tc>
          <w:tcPr>
            <w:tcW w:w="2728" w:type="dxa"/>
            <w:vAlign w:val="center"/>
          </w:tcPr>
          <w:p>
            <w:pPr>
              <w:wordWrap w:val="0"/>
              <w:spacing w:line="276" w:lineRule="auto"/>
              <w:contextualSpacing/>
              <w:jc w:val="center"/>
              <w:rPr>
                <w:rFonts w:ascii="宋体" w:hAnsi="宋体"/>
                <w:szCs w:val="21"/>
              </w:rPr>
            </w:pPr>
          </w:p>
        </w:tc>
        <w:tc>
          <w:tcPr>
            <w:tcW w:w="1984" w:type="dxa"/>
            <w:vAlign w:val="center"/>
          </w:tcPr>
          <w:p>
            <w:pPr>
              <w:wordWrap w:val="0"/>
              <w:spacing w:line="276" w:lineRule="auto"/>
              <w:contextualSpacing/>
              <w:jc w:val="center"/>
              <w:rPr>
                <w:rFonts w:ascii="宋体" w:hAnsi="宋体"/>
                <w:szCs w:val="21"/>
              </w:rPr>
            </w:pPr>
          </w:p>
        </w:tc>
        <w:tc>
          <w:tcPr>
            <w:tcW w:w="2268" w:type="dxa"/>
            <w:vAlign w:val="center"/>
          </w:tcPr>
          <w:p>
            <w:pPr>
              <w:wordWrap w:val="0"/>
              <w:spacing w:line="276" w:lineRule="auto"/>
              <w:contextualSpacing/>
              <w:jc w:val="center"/>
              <w:rPr>
                <w:rFonts w:ascii="宋体" w:hAnsi="宋体"/>
                <w:szCs w:val="21"/>
              </w:rPr>
            </w:pPr>
          </w:p>
        </w:tc>
        <w:tc>
          <w:tcPr>
            <w:tcW w:w="1701" w:type="dxa"/>
            <w:vAlign w:val="center"/>
          </w:tcPr>
          <w:p>
            <w:pPr>
              <w:wordWrap w:val="0"/>
              <w:spacing w:line="276" w:lineRule="auto"/>
              <w:contextualSpacing/>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ordWrap w:val="0"/>
              <w:spacing w:line="276" w:lineRule="auto"/>
              <w:contextualSpacing/>
              <w:jc w:val="center"/>
              <w:rPr>
                <w:rFonts w:ascii="宋体" w:hAnsi="宋体"/>
                <w:szCs w:val="21"/>
              </w:rPr>
            </w:pPr>
            <w:r>
              <w:rPr>
                <w:rFonts w:ascii="宋体" w:hAnsi="宋体"/>
                <w:szCs w:val="21"/>
              </w:rPr>
              <w:t>……</w:t>
            </w:r>
          </w:p>
        </w:tc>
        <w:tc>
          <w:tcPr>
            <w:tcW w:w="2728" w:type="dxa"/>
            <w:vAlign w:val="center"/>
          </w:tcPr>
          <w:p>
            <w:pPr>
              <w:wordWrap w:val="0"/>
              <w:spacing w:line="276" w:lineRule="auto"/>
              <w:contextualSpacing/>
              <w:jc w:val="center"/>
              <w:rPr>
                <w:rFonts w:ascii="宋体" w:hAnsi="宋体"/>
                <w:szCs w:val="21"/>
              </w:rPr>
            </w:pPr>
          </w:p>
        </w:tc>
        <w:tc>
          <w:tcPr>
            <w:tcW w:w="1984" w:type="dxa"/>
            <w:vAlign w:val="center"/>
          </w:tcPr>
          <w:p>
            <w:pPr>
              <w:wordWrap w:val="0"/>
              <w:spacing w:line="276" w:lineRule="auto"/>
              <w:contextualSpacing/>
              <w:jc w:val="center"/>
              <w:rPr>
                <w:rFonts w:ascii="宋体" w:hAnsi="宋体"/>
                <w:szCs w:val="21"/>
              </w:rPr>
            </w:pPr>
          </w:p>
        </w:tc>
        <w:tc>
          <w:tcPr>
            <w:tcW w:w="2268" w:type="dxa"/>
            <w:vAlign w:val="center"/>
          </w:tcPr>
          <w:p>
            <w:pPr>
              <w:wordWrap w:val="0"/>
              <w:spacing w:line="276" w:lineRule="auto"/>
              <w:contextualSpacing/>
              <w:jc w:val="center"/>
              <w:rPr>
                <w:rFonts w:ascii="宋体" w:hAnsi="宋体"/>
                <w:szCs w:val="21"/>
              </w:rPr>
            </w:pPr>
          </w:p>
        </w:tc>
        <w:tc>
          <w:tcPr>
            <w:tcW w:w="1701" w:type="dxa"/>
            <w:vAlign w:val="center"/>
          </w:tcPr>
          <w:p>
            <w:pPr>
              <w:wordWrap w:val="0"/>
              <w:spacing w:line="276" w:lineRule="auto"/>
              <w:contextualSpacing/>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ordWrap w:val="0"/>
              <w:spacing w:line="276" w:lineRule="auto"/>
              <w:contextualSpacing/>
              <w:jc w:val="center"/>
              <w:rPr>
                <w:rFonts w:ascii="宋体" w:hAnsi="宋体"/>
                <w:szCs w:val="21"/>
              </w:rPr>
            </w:pPr>
          </w:p>
        </w:tc>
        <w:tc>
          <w:tcPr>
            <w:tcW w:w="2728" w:type="dxa"/>
            <w:vAlign w:val="center"/>
          </w:tcPr>
          <w:p>
            <w:pPr>
              <w:wordWrap w:val="0"/>
              <w:spacing w:line="276" w:lineRule="auto"/>
              <w:contextualSpacing/>
              <w:jc w:val="center"/>
              <w:rPr>
                <w:rFonts w:ascii="宋体" w:hAnsi="宋体"/>
                <w:szCs w:val="21"/>
              </w:rPr>
            </w:pPr>
          </w:p>
        </w:tc>
        <w:tc>
          <w:tcPr>
            <w:tcW w:w="1984" w:type="dxa"/>
            <w:vAlign w:val="center"/>
          </w:tcPr>
          <w:p>
            <w:pPr>
              <w:wordWrap w:val="0"/>
              <w:spacing w:line="276" w:lineRule="auto"/>
              <w:contextualSpacing/>
              <w:jc w:val="center"/>
              <w:rPr>
                <w:rFonts w:ascii="宋体" w:hAnsi="宋体"/>
                <w:szCs w:val="21"/>
              </w:rPr>
            </w:pPr>
          </w:p>
        </w:tc>
        <w:tc>
          <w:tcPr>
            <w:tcW w:w="2268" w:type="dxa"/>
            <w:vAlign w:val="center"/>
          </w:tcPr>
          <w:p>
            <w:pPr>
              <w:wordWrap w:val="0"/>
              <w:spacing w:line="276" w:lineRule="auto"/>
              <w:contextualSpacing/>
              <w:jc w:val="center"/>
              <w:rPr>
                <w:rFonts w:ascii="宋体" w:hAnsi="宋体"/>
                <w:szCs w:val="21"/>
              </w:rPr>
            </w:pPr>
          </w:p>
        </w:tc>
        <w:tc>
          <w:tcPr>
            <w:tcW w:w="1701" w:type="dxa"/>
            <w:vAlign w:val="center"/>
          </w:tcPr>
          <w:p>
            <w:pPr>
              <w:wordWrap w:val="0"/>
              <w:spacing w:line="276" w:lineRule="auto"/>
              <w:contextualSpacing/>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ordWrap w:val="0"/>
              <w:spacing w:line="276" w:lineRule="auto"/>
              <w:contextualSpacing/>
              <w:jc w:val="center"/>
              <w:rPr>
                <w:rFonts w:ascii="宋体" w:hAnsi="宋体"/>
                <w:szCs w:val="21"/>
              </w:rPr>
            </w:pPr>
          </w:p>
        </w:tc>
        <w:tc>
          <w:tcPr>
            <w:tcW w:w="2728" w:type="dxa"/>
            <w:vAlign w:val="center"/>
          </w:tcPr>
          <w:p>
            <w:pPr>
              <w:wordWrap w:val="0"/>
              <w:spacing w:line="276" w:lineRule="auto"/>
              <w:contextualSpacing/>
              <w:jc w:val="center"/>
              <w:rPr>
                <w:rFonts w:ascii="宋体" w:hAnsi="宋体"/>
                <w:szCs w:val="21"/>
              </w:rPr>
            </w:pPr>
          </w:p>
        </w:tc>
        <w:tc>
          <w:tcPr>
            <w:tcW w:w="1984" w:type="dxa"/>
            <w:vAlign w:val="center"/>
          </w:tcPr>
          <w:p>
            <w:pPr>
              <w:wordWrap w:val="0"/>
              <w:spacing w:line="276" w:lineRule="auto"/>
              <w:contextualSpacing/>
              <w:jc w:val="center"/>
              <w:rPr>
                <w:rFonts w:ascii="宋体" w:hAnsi="宋体"/>
                <w:szCs w:val="21"/>
              </w:rPr>
            </w:pPr>
          </w:p>
        </w:tc>
        <w:tc>
          <w:tcPr>
            <w:tcW w:w="2268" w:type="dxa"/>
            <w:vAlign w:val="center"/>
          </w:tcPr>
          <w:p>
            <w:pPr>
              <w:wordWrap w:val="0"/>
              <w:spacing w:line="276" w:lineRule="auto"/>
              <w:contextualSpacing/>
              <w:jc w:val="center"/>
              <w:rPr>
                <w:rFonts w:ascii="宋体" w:hAnsi="宋体"/>
                <w:szCs w:val="21"/>
              </w:rPr>
            </w:pPr>
          </w:p>
        </w:tc>
        <w:tc>
          <w:tcPr>
            <w:tcW w:w="1701" w:type="dxa"/>
            <w:vAlign w:val="center"/>
          </w:tcPr>
          <w:p>
            <w:pPr>
              <w:wordWrap w:val="0"/>
              <w:spacing w:line="276" w:lineRule="auto"/>
              <w:contextualSpacing/>
              <w:jc w:val="center"/>
              <w:rPr>
                <w:rFonts w:ascii="宋体" w:hAnsi="宋体"/>
                <w:szCs w:val="21"/>
              </w:rPr>
            </w:pPr>
          </w:p>
        </w:tc>
      </w:tr>
    </w:tbl>
    <w:p>
      <w:pPr>
        <w:spacing w:line="360" w:lineRule="auto"/>
        <w:rPr>
          <w:rFonts w:ascii="宋体"/>
          <w:b/>
        </w:rPr>
      </w:pPr>
    </w:p>
    <w:p>
      <w:pPr>
        <w:ind w:firstLine="422" w:firstLineChars="200"/>
        <w:rPr>
          <w:rFonts w:ascii="宋体"/>
          <w:b/>
        </w:rPr>
      </w:pPr>
      <w:r>
        <w:rPr>
          <w:rFonts w:hint="eastAsia" w:ascii="宋体"/>
          <w:b/>
        </w:rPr>
        <w:t>我公司承诺：除响应文件偏差表列出的偏差外，服务商响应采购文件的全部要求。</w:t>
      </w:r>
    </w:p>
    <w:p>
      <w:pPr>
        <w:spacing w:line="360" w:lineRule="auto"/>
        <w:rPr>
          <w:rFonts w:ascii="宋体"/>
          <w:b/>
        </w:rPr>
      </w:pPr>
    </w:p>
    <w:p>
      <w:pPr>
        <w:spacing w:line="360" w:lineRule="auto"/>
        <w:rPr>
          <w:rFonts w:ascii="宋体"/>
          <w:b/>
        </w:rPr>
      </w:pPr>
    </w:p>
    <w:p>
      <w:pPr>
        <w:pStyle w:val="6"/>
      </w:pPr>
    </w:p>
    <w:p>
      <w:pPr>
        <w:pStyle w:val="6"/>
      </w:pPr>
    </w:p>
    <w:p>
      <w:pPr>
        <w:pStyle w:val="6"/>
      </w:pPr>
    </w:p>
    <w:p>
      <w:pPr>
        <w:pStyle w:val="6"/>
      </w:pPr>
    </w:p>
    <w:p>
      <w:pPr>
        <w:spacing w:line="360" w:lineRule="auto"/>
        <w:ind w:right="420" w:firstLine="3570" w:firstLineChars="1700"/>
        <w:contextualSpacing/>
        <w:rPr>
          <w:rFonts w:ascii="宋体" w:hAnsi="宋体"/>
          <w:szCs w:val="21"/>
        </w:rPr>
      </w:pPr>
      <w:r>
        <w:rPr>
          <w:rFonts w:hint="eastAsia" w:ascii="宋体" w:hAnsi="宋体"/>
          <w:szCs w:val="21"/>
        </w:rPr>
        <w:t>服  务  商：</w:t>
      </w:r>
      <w:r>
        <w:rPr>
          <w:rFonts w:hint="eastAsia" w:ascii="宋体" w:hAnsi="宋体"/>
          <w:szCs w:val="21"/>
          <w:u w:val="single"/>
        </w:rPr>
        <w:t xml:space="preserve">                    </w:t>
      </w:r>
      <w:r>
        <w:rPr>
          <w:rFonts w:hint="eastAsia" w:ascii="宋体" w:hAnsi="宋体"/>
          <w:szCs w:val="21"/>
        </w:rPr>
        <w:t>（加盖单位公章）</w:t>
      </w:r>
    </w:p>
    <w:p>
      <w:pPr>
        <w:spacing w:line="360" w:lineRule="auto"/>
        <w:ind w:right="420" w:firstLine="3570" w:firstLineChars="1700"/>
        <w:contextualSpacing/>
        <w:rPr>
          <w:rFonts w:ascii="宋体" w:hAnsi="宋体"/>
          <w:szCs w:val="21"/>
        </w:rPr>
      </w:pPr>
      <w:r>
        <w:rPr>
          <w:rFonts w:hint="eastAsia" w:ascii="宋体" w:hAnsi="宋体"/>
          <w:szCs w:val="21"/>
        </w:rPr>
        <w:t>法定代表人或授权委托代理人：</w:t>
      </w:r>
      <w:r>
        <w:rPr>
          <w:rFonts w:hint="eastAsia" w:ascii="宋体" w:hAnsi="宋体"/>
          <w:szCs w:val="21"/>
          <w:u w:val="single"/>
        </w:rPr>
        <w:t xml:space="preserve">      </w:t>
      </w:r>
      <w:r>
        <w:rPr>
          <w:rFonts w:hint="eastAsia" w:ascii="宋体" w:hAnsi="宋体"/>
          <w:szCs w:val="21"/>
        </w:rPr>
        <w:t>（签字或盖章）</w:t>
      </w:r>
    </w:p>
    <w:p>
      <w:pPr>
        <w:spacing w:line="360" w:lineRule="auto"/>
        <w:ind w:right="420" w:firstLine="4620" w:firstLineChars="2200"/>
        <w:contextualSpacing/>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6"/>
        <w:rPr>
          <w:szCs w:val="22"/>
        </w:rPr>
      </w:pPr>
    </w:p>
    <w:p>
      <w:pPr>
        <w:pStyle w:val="6"/>
        <w:rPr>
          <w:szCs w:val="22"/>
        </w:rPr>
      </w:pPr>
    </w:p>
    <w:p>
      <w:pPr>
        <w:pStyle w:val="6"/>
        <w:rPr>
          <w:szCs w:val="22"/>
        </w:rPr>
      </w:pPr>
    </w:p>
    <w:p>
      <w:pPr>
        <w:pStyle w:val="6"/>
        <w:rPr>
          <w:szCs w:val="22"/>
        </w:rPr>
      </w:pPr>
    </w:p>
    <w:p>
      <w:pPr>
        <w:pStyle w:val="6"/>
        <w:rPr>
          <w:szCs w:val="22"/>
        </w:rPr>
      </w:pPr>
    </w:p>
    <w:p>
      <w:pPr>
        <w:spacing w:line="360" w:lineRule="auto"/>
      </w:pPr>
    </w:p>
    <w:sectPr>
      <w:footerReference r:id="rId13" w:type="default"/>
      <w:pgSz w:w="11905" w:h="16838"/>
      <w:pgMar w:top="1417" w:right="1417" w:bottom="1417" w:left="1417" w:header="992"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ascii="宋体" w:hAnsi="宋体"/>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left w:val="none" w:color="auto" w:sz="0" w:space="4"/>
        <w:bottom w:val="none" w:color="auto" w:sz="0" w:space="1"/>
        <w:right w:val="none" w:color="auto" w:sz="0" w:space="4"/>
      </w:pBdr>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42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424D1"/>
    <w:multiLevelType w:val="multilevel"/>
    <w:tmpl w:val="51B424D1"/>
    <w:lvl w:ilvl="0" w:tentative="0">
      <w:start w:val="1"/>
      <w:numFmt w:val="decimal"/>
      <w:lvlText w:val="%1."/>
      <w:lvlJc w:val="left"/>
      <w:pPr>
        <w:tabs>
          <w:tab w:val="left" w:pos="911"/>
        </w:tabs>
        <w:ind w:left="911" w:hanging="360"/>
      </w:pPr>
      <w:rPr>
        <w:rFonts w:hint="default"/>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1">
    <w:nsid w:val="56177D77"/>
    <w:multiLevelType w:val="singleLevel"/>
    <w:tmpl w:val="56177D77"/>
    <w:lvl w:ilvl="0" w:tentative="0">
      <w:start w:val="1"/>
      <w:numFmt w:val="chineseCounting"/>
      <w:suff w:val="nothing"/>
      <w:lvlText w:val="%1、"/>
      <w:lvlJc w:val="left"/>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420"/>
  <w:drawingGridHorizontalSpacing w:val="210"/>
  <w:drawingGridVerticalSpacing w:val="16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ZhYmRhMTJhNDM0NjExNDY4MTE2NTdiYjFkYTZjYWQifQ=="/>
  </w:docVars>
  <w:rsids>
    <w:rsidRoot w:val="00172A27"/>
    <w:rsid w:val="00000952"/>
    <w:rsid w:val="00003332"/>
    <w:rsid w:val="00004579"/>
    <w:rsid w:val="00004A68"/>
    <w:rsid w:val="000071A1"/>
    <w:rsid w:val="0001014C"/>
    <w:rsid w:val="0001166F"/>
    <w:rsid w:val="00011696"/>
    <w:rsid w:val="000118FC"/>
    <w:rsid w:val="000143F9"/>
    <w:rsid w:val="00015F30"/>
    <w:rsid w:val="00016BC2"/>
    <w:rsid w:val="00017253"/>
    <w:rsid w:val="00017907"/>
    <w:rsid w:val="00017B20"/>
    <w:rsid w:val="000203A0"/>
    <w:rsid w:val="000204FF"/>
    <w:rsid w:val="000209FD"/>
    <w:rsid w:val="00021295"/>
    <w:rsid w:val="00023F03"/>
    <w:rsid w:val="000254FD"/>
    <w:rsid w:val="00025918"/>
    <w:rsid w:val="00026C12"/>
    <w:rsid w:val="0002713F"/>
    <w:rsid w:val="000272D3"/>
    <w:rsid w:val="00027952"/>
    <w:rsid w:val="00027D7F"/>
    <w:rsid w:val="00031ADF"/>
    <w:rsid w:val="00031B92"/>
    <w:rsid w:val="000327E2"/>
    <w:rsid w:val="00032ADF"/>
    <w:rsid w:val="000340C6"/>
    <w:rsid w:val="00034AC8"/>
    <w:rsid w:val="00034F5A"/>
    <w:rsid w:val="00035C54"/>
    <w:rsid w:val="00036C05"/>
    <w:rsid w:val="00036F82"/>
    <w:rsid w:val="000371D8"/>
    <w:rsid w:val="000372AD"/>
    <w:rsid w:val="000373CA"/>
    <w:rsid w:val="00040879"/>
    <w:rsid w:val="00040E8E"/>
    <w:rsid w:val="000414CF"/>
    <w:rsid w:val="00041A5C"/>
    <w:rsid w:val="00041FB9"/>
    <w:rsid w:val="00042917"/>
    <w:rsid w:val="00045B8C"/>
    <w:rsid w:val="0004603B"/>
    <w:rsid w:val="000463DB"/>
    <w:rsid w:val="00046889"/>
    <w:rsid w:val="000477DF"/>
    <w:rsid w:val="000512B7"/>
    <w:rsid w:val="00051CD0"/>
    <w:rsid w:val="000522E0"/>
    <w:rsid w:val="00053C4C"/>
    <w:rsid w:val="00054343"/>
    <w:rsid w:val="00054A4F"/>
    <w:rsid w:val="00055921"/>
    <w:rsid w:val="00055D1F"/>
    <w:rsid w:val="00056129"/>
    <w:rsid w:val="000569A9"/>
    <w:rsid w:val="00057342"/>
    <w:rsid w:val="000605F8"/>
    <w:rsid w:val="00060BB5"/>
    <w:rsid w:val="00063705"/>
    <w:rsid w:val="000644C5"/>
    <w:rsid w:val="00065C46"/>
    <w:rsid w:val="0006641D"/>
    <w:rsid w:val="00066534"/>
    <w:rsid w:val="0006690C"/>
    <w:rsid w:val="00066D10"/>
    <w:rsid w:val="00071227"/>
    <w:rsid w:val="00073D8C"/>
    <w:rsid w:val="00074B68"/>
    <w:rsid w:val="00075B64"/>
    <w:rsid w:val="000769C0"/>
    <w:rsid w:val="00076CD5"/>
    <w:rsid w:val="000771A5"/>
    <w:rsid w:val="00077604"/>
    <w:rsid w:val="00077649"/>
    <w:rsid w:val="00077942"/>
    <w:rsid w:val="00080202"/>
    <w:rsid w:val="00081360"/>
    <w:rsid w:val="0008265F"/>
    <w:rsid w:val="00082725"/>
    <w:rsid w:val="00083EBC"/>
    <w:rsid w:val="000842C8"/>
    <w:rsid w:val="000849C2"/>
    <w:rsid w:val="000863EA"/>
    <w:rsid w:val="00087B24"/>
    <w:rsid w:val="00087EF9"/>
    <w:rsid w:val="00091217"/>
    <w:rsid w:val="0009150A"/>
    <w:rsid w:val="000937C3"/>
    <w:rsid w:val="000940B3"/>
    <w:rsid w:val="000943B9"/>
    <w:rsid w:val="00095745"/>
    <w:rsid w:val="000A07F4"/>
    <w:rsid w:val="000A13DC"/>
    <w:rsid w:val="000A351E"/>
    <w:rsid w:val="000A43C4"/>
    <w:rsid w:val="000A4E3A"/>
    <w:rsid w:val="000A637D"/>
    <w:rsid w:val="000A6887"/>
    <w:rsid w:val="000A79D3"/>
    <w:rsid w:val="000B01D0"/>
    <w:rsid w:val="000B3FF3"/>
    <w:rsid w:val="000B4625"/>
    <w:rsid w:val="000B5827"/>
    <w:rsid w:val="000B7541"/>
    <w:rsid w:val="000C05A9"/>
    <w:rsid w:val="000C062D"/>
    <w:rsid w:val="000C0887"/>
    <w:rsid w:val="000C18A7"/>
    <w:rsid w:val="000C1BA4"/>
    <w:rsid w:val="000C203B"/>
    <w:rsid w:val="000C2359"/>
    <w:rsid w:val="000C2B24"/>
    <w:rsid w:val="000C2DB1"/>
    <w:rsid w:val="000C6627"/>
    <w:rsid w:val="000C7667"/>
    <w:rsid w:val="000D1209"/>
    <w:rsid w:val="000D2266"/>
    <w:rsid w:val="000D407F"/>
    <w:rsid w:val="000D433E"/>
    <w:rsid w:val="000D5762"/>
    <w:rsid w:val="000D5C4B"/>
    <w:rsid w:val="000E019A"/>
    <w:rsid w:val="000E023D"/>
    <w:rsid w:val="000E0508"/>
    <w:rsid w:val="000E0965"/>
    <w:rsid w:val="000E0CCF"/>
    <w:rsid w:val="000E1560"/>
    <w:rsid w:val="000E1D59"/>
    <w:rsid w:val="000E2D4D"/>
    <w:rsid w:val="000E428F"/>
    <w:rsid w:val="000E5317"/>
    <w:rsid w:val="000E592B"/>
    <w:rsid w:val="000E5997"/>
    <w:rsid w:val="000E75A5"/>
    <w:rsid w:val="000E7A17"/>
    <w:rsid w:val="000E7F2E"/>
    <w:rsid w:val="000F270F"/>
    <w:rsid w:val="000F3C1E"/>
    <w:rsid w:val="000F3C68"/>
    <w:rsid w:val="000F43E8"/>
    <w:rsid w:val="000F45CA"/>
    <w:rsid w:val="000F7E46"/>
    <w:rsid w:val="00101050"/>
    <w:rsid w:val="001014DD"/>
    <w:rsid w:val="00101BCE"/>
    <w:rsid w:val="00101C70"/>
    <w:rsid w:val="001022BD"/>
    <w:rsid w:val="001031A9"/>
    <w:rsid w:val="00106FB5"/>
    <w:rsid w:val="00107B06"/>
    <w:rsid w:val="00110AFD"/>
    <w:rsid w:val="0011120C"/>
    <w:rsid w:val="00114332"/>
    <w:rsid w:val="00116396"/>
    <w:rsid w:val="001164CD"/>
    <w:rsid w:val="00116A99"/>
    <w:rsid w:val="00116E78"/>
    <w:rsid w:val="00120A75"/>
    <w:rsid w:val="001211E6"/>
    <w:rsid w:val="001232B1"/>
    <w:rsid w:val="001234FA"/>
    <w:rsid w:val="0012364B"/>
    <w:rsid w:val="00123752"/>
    <w:rsid w:val="00123CB4"/>
    <w:rsid w:val="00124727"/>
    <w:rsid w:val="00124D7E"/>
    <w:rsid w:val="00125A4E"/>
    <w:rsid w:val="00130A2B"/>
    <w:rsid w:val="001329D2"/>
    <w:rsid w:val="00132B71"/>
    <w:rsid w:val="001332AE"/>
    <w:rsid w:val="00133704"/>
    <w:rsid w:val="00134A43"/>
    <w:rsid w:val="001350F5"/>
    <w:rsid w:val="00135C06"/>
    <w:rsid w:val="00135ED1"/>
    <w:rsid w:val="001361B2"/>
    <w:rsid w:val="001361B3"/>
    <w:rsid w:val="001377E3"/>
    <w:rsid w:val="001378C0"/>
    <w:rsid w:val="00140083"/>
    <w:rsid w:val="00140A49"/>
    <w:rsid w:val="00141E38"/>
    <w:rsid w:val="00141E7D"/>
    <w:rsid w:val="00142CA8"/>
    <w:rsid w:val="001436C0"/>
    <w:rsid w:val="0014442B"/>
    <w:rsid w:val="0014650A"/>
    <w:rsid w:val="0014674C"/>
    <w:rsid w:val="001476B3"/>
    <w:rsid w:val="001477EB"/>
    <w:rsid w:val="001479CC"/>
    <w:rsid w:val="00152FCE"/>
    <w:rsid w:val="00155084"/>
    <w:rsid w:val="001557A0"/>
    <w:rsid w:val="0015628E"/>
    <w:rsid w:val="0016285E"/>
    <w:rsid w:val="001636E0"/>
    <w:rsid w:val="0016479F"/>
    <w:rsid w:val="00164890"/>
    <w:rsid w:val="00164E23"/>
    <w:rsid w:val="0016690C"/>
    <w:rsid w:val="00166FEC"/>
    <w:rsid w:val="00172743"/>
    <w:rsid w:val="00172A27"/>
    <w:rsid w:val="001733D4"/>
    <w:rsid w:val="001736F1"/>
    <w:rsid w:val="00173776"/>
    <w:rsid w:val="001745AE"/>
    <w:rsid w:val="00174CBE"/>
    <w:rsid w:val="0017605B"/>
    <w:rsid w:val="0017727E"/>
    <w:rsid w:val="0017759F"/>
    <w:rsid w:val="00177882"/>
    <w:rsid w:val="00181D20"/>
    <w:rsid w:val="001821DC"/>
    <w:rsid w:val="00182794"/>
    <w:rsid w:val="00182850"/>
    <w:rsid w:val="001842C5"/>
    <w:rsid w:val="0018537B"/>
    <w:rsid w:val="001904AF"/>
    <w:rsid w:val="00190D24"/>
    <w:rsid w:val="001917F6"/>
    <w:rsid w:val="001937E9"/>
    <w:rsid w:val="00195E01"/>
    <w:rsid w:val="001961D8"/>
    <w:rsid w:val="001974E9"/>
    <w:rsid w:val="001976D1"/>
    <w:rsid w:val="00197DAF"/>
    <w:rsid w:val="001A037E"/>
    <w:rsid w:val="001A22AC"/>
    <w:rsid w:val="001A32A6"/>
    <w:rsid w:val="001A345B"/>
    <w:rsid w:val="001A4F5C"/>
    <w:rsid w:val="001A5DDF"/>
    <w:rsid w:val="001A6823"/>
    <w:rsid w:val="001A7D71"/>
    <w:rsid w:val="001B0469"/>
    <w:rsid w:val="001B0D15"/>
    <w:rsid w:val="001B3403"/>
    <w:rsid w:val="001B3794"/>
    <w:rsid w:val="001B3A47"/>
    <w:rsid w:val="001B51CF"/>
    <w:rsid w:val="001B70D5"/>
    <w:rsid w:val="001B7F44"/>
    <w:rsid w:val="001C20AC"/>
    <w:rsid w:val="001C3B4B"/>
    <w:rsid w:val="001C3DE1"/>
    <w:rsid w:val="001C3ECE"/>
    <w:rsid w:val="001C4633"/>
    <w:rsid w:val="001C5852"/>
    <w:rsid w:val="001C5902"/>
    <w:rsid w:val="001C632B"/>
    <w:rsid w:val="001C6C9F"/>
    <w:rsid w:val="001C7E6B"/>
    <w:rsid w:val="001D16B7"/>
    <w:rsid w:val="001D1C92"/>
    <w:rsid w:val="001D3500"/>
    <w:rsid w:val="001D3D1B"/>
    <w:rsid w:val="001D3DCC"/>
    <w:rsid w:val="001D47C6"/>
    <w:rsid w:val="001D7C14"/>
    <w:rsid w:val="001D7C1B"/>
    <w:rsid w:val="001E0A4F"/>
    <w:rsid w:val="001E17C5"/>
    <w:rsid w:val="001E1C69"/>
    <w:rsid w:val="001E2658"/>
    <w:rsid w:val="001E2D58"/>
    <w:rsid w:val="001E2EC3"/>
    <w:rsid w:val="001E30EE"/>
    <w:rsid w:val="001E3C68"/>
    <w:rsid w:val="001E425D"/>
    <w:rsid w:val="001E4662"/>
    <w:rsid w:val="001E4FA7"/>
    <w:rsid w:val="001E4FC4"/>
    <w:rsid w:val="001E5A1C"/>
    <w:rsid w:val="001E6622"/>
    <w:rsid w:val="001E6CF1"/>
    <w:rsid w:val="001E73E4"/>
    <w:rsid w:val="001F0401"/>
    <w:rsid w:val="001F0A38"/>
    <w:rsid w:val="001F149C"/>
    <w:rsid w:val="001F2562"/>
    <w:rsid w:val="001F27D4"/>
    <w:rsid w:val="001F407A"/>
    <w:rsid w:val="001F55ED"/>
    <w:rsid w:val="001F56A7"/>
    <w:rsid w:val="001F7160"/>
    <w:rsid w:val="001F76FB"/>
    <w:rsid w:val="001F793E"/>
    <w:rsid w:val="00200072"/>
    <w:rsid w:val="00201FFD"/>
    <w:rsid w:val="00203285"/>
    <w:rsid w:val="00204818"/>
    <w:rsid w:val="002052B9"/>
    <w:rsid w:val="00205669"/>
    <w:rsid w:val="0020672D"/>
    <w:rsid w:val="00206F51"/>
    <w:rsid w:val="0021110F"/>
    <w:rsid w:val="002116F7"/>
    <w:rsid w:val="00211B5B"/>
    <w:rsid w:val="00213B2D"/>
    <w:rsid w:val="0021424A"/>
    <w:rsid w:val="00214CD9"/>
    <w:rsid w:val="00214E29"/>
    <w:rsid w:val="0021576F"/>
    <w:rsid w:val="0022050F"/>
    <w:rsid w:val="00222411"/>
    <w:rsid w:val="00222522"/>
    <w:rsid w:val="0022262F"/>
    <w:rsid w:val="00223E8C"/>
    <w:rsid w:val="00223EAB"/>
    <w:rsid w:val="00223F8F"/>
    <w:rsid w:val="00225C10"/>
    <w:rsid w:val="00227EFD"/>
    <w:rsid w:val="00231B41"/>
    <w:rsid w:val="00232398"/>
    <w:rsid w:val="0023459A"/>
    <w:rsid w:val="002351C8"/>
    <w:rsid w:val="0023534F"/>
    <w:rsid w:val="00237BC0"/>
    <w:rsid w:val="00240CC3"/>
    <w:rsid w:val="00240DFA"/>
    <w:rsid w:val="00240F45"/>
    <w:rsid w:val="002415CF"/>
    <w:rsid w:val="0024343D"/>
    <w:rsid w:val="00243D48"/>
    <w:rsid w:val="002477D9"/>
    <w:rsid w:val="002478E8"/>
    <w:rsid w:val="00250C34"/>
    <w:rsid w:val="0025103B"/>
    <w:rsid w:val="00252478"/>
    <w:rsid w:val="0025289E"/>
    <w:rsid w:val="0025367E"/>
    <w:rsid w:val="002538B9"/>
    <w:rsid w:val="00256FC4"/>
    <w:rsid w:val="002575D7"/>
    <w:rsid w:val="00260DE8"/>
    <w:rsid w:val="002620D4"/>
    <w:rsid w:val="00263224"/>
    <w:rsid w:val="00264E72"/>
    <w:rsid w:val="00265312"/>
    <w:rsid w:val="002659C8"/>
    <w:rsid w:val="00266160"/>
    <w:rsid w:val="00266F5C"/>
    <w:rsid w:val="002700C4"/>
    <w:rsid w:val="0027433E"/>
    <w:rsid w:val="00274BAA"/>
    <w:rsid w:val="00274D7B"/>
    <w:rsid w:val="00275001"/>
    <w:rsid w:val="002757A7"/>
    <w:rsid w:val="00276A52"/>
    <w:rsid w:val="0027739B"/>
    <w:rsid w:val="00280429"/>
    <w:rsid w:val="002818C0"/>
    <w:rsid w:val="00281F16"/>
    <w:rsid w:val="00282188"/>
    <w:rsid w:val="00282F2F"/>
    <w:rsid w:val="002839F6"/>
    <w:rsid w:val="00284055"/>
    <w:rsid w:val="002857A6"/>
    <w:rsid w:val="00285A35"/>
    <w:rsid w:val="002867E8"/>
    <w:rsid w:val="002871FA"/>
    <w:rsid w:val="002878A2"/>
    <w:rsid w:val="00290490"/>
    <w:rsid w:val="002913C8"/>
    <w:rsid w:val="0029161D"/>
    <w:rsid w:val="002926D9"/>
    <w:rsid w:val="00292AB6"/>
    <w:rsid w:val="002951D9"/>
    <w:rsid w:val="00295608"/>
    <w:rsid w:val="00295C29"/>
    <w:rsid w:val="002A1257"/>
    <w:rsid w:val="002A2380"/>
    <w:rsid w:val="002A2FCC"/>
    <w:rsid w:val="002A3AD7"/>
    <w:rsid w:val="002A3DE2"/>
    <w:rsid w:val="002A4BC5"/>
    <w:rsid w:val="002A555C"/>
    <w:rsid w:val="002A5872"/>
    <w:rsid w:val="002A65B2"/>
    <w:rsid w:val="002A6F5E"/>
    <w:rsid w:val="002B1750"/>
    <w:rsid w:val="002B204F"/>
    <w:rsid w:val="002B2B7D"/>
    <w:rsid w:val="002B3F38"/>
    <w:rsid w:val="002B49B3"/>
    <w:rsid w:val="002B4A29"/>
    <w:rsid w:val="002B567A"/>
    <w:rsid w:val="002B5A44"/>
    <w:rsid w:val="002B684D"/>
    <w:rsid w:val="002B6FA3"/>
    <w:rsid w:val="002B7603"/>
    <w:rsid w:val="002B7D41"/>
    <w:rsid w:val="002C1D3B"/>
    <w:rsid w:val="002C38B0"/>
    <w:rsid w:val="002C42E1"/>
    <w:rsid w:val="002C4D90"/>
    <w:rsid w:val="002C50D2"/>
    <w:rsid w:val="002C5230"/>
    <w:rsid w:val="002C616D"/>
    <w:rsid w:val="002C7015"/>
    <w:rsid w:val="002C706C"/>
    <w:rsid w:val="002C7B5C"/>
    <w:rsid w:val="002D1C3E"/>
    <w:rsid w:val="002D1D6B"/>
    <w:rsid w:val="002D2532"/>
    <w:rsid w:val="002D2A12"/>
    <w:rsid w:val="002D3F05"/>
    <w:rsid w:val="002D4A27"/>
    <w:rsid w:val="002D7482"/>
    <w:rsid w:val="002D77C1"/>
    <w:rsid w:val="002D7D2B"/>
    <w:rsid w:val="002E09DA"/>
    <w:rsid w:val="002E0FAE"/>
    <w:rsid w:val="002E132A"/>
    <w:rsid w:val="002E1803"/>
    <w:rsid w:val="002E1B4D"/>
    <w:rsid w:val="002E1BCD"/>
    <w:rsid w:val="002E22F1"/>
    <w:rsid w:val="002E2786"/>
    <w:rsid w:val="002E39A2"/>
    <w:rsid w:val="002E43BF"/>
    <w:rsid w:val="002E4E9C"/>
    <w:rsid w:val="002F196F"/>
    <w:rsid w:val="002F2395"/>
    <w:rsid w:val="002F2C77"/>
    <w:rsid w:val="002F3A79"/>
    <w:rsid w:val="002F407E"/>
    <w:rsid w:val="002F4AD6"/>
    <w:rsid w:val="002F5A31"/>
    <w:rsid w:val="002F6132"/>
    <w:rsid w:val="002F64EE"/>
    <w:rsid w:val="002F6513"/>
    <w:rsid w:val="002F67A7"/>
    <w:rsid w:val="002F7668"/>
    <w:rsid w:val="002F7F88"/>
    <w:rsid w:val="00305B4E"/>
    <w:rsid w:val="0030773E"/>
    <w:rsid w:val="00310019"/>
    <w:rsid w:val="00310C6E"/>
    <w:rsid w:val="00312822"/>
    <w:rsid w:val="00314064"/>
    <w:rsid w:val="00314ABC"/>
    <w:rsid w:val="00315033"/>
    <w:rsid w:val="003167E2"/>
    <w:rsid w:val="003175DD"/>
    <w:rsid w:val="00320EE5"/>
    <w:rsid w:val="00321184"/>
    <w:rsid w:val="0032130C"/>
    <w:rsid w:val="003214CA"/>
    <w:rsid w:val="0032185A"/>
    <w:rsid w:val="00321966"/>
    <w:rsid w:val="0032312D"/>
    <w:rsid w:val="00323225"/>
    <w:rsid w:val="003242DA"/>
    <w:rsid w:val="003244FC"/>
    <w:rsid w:val="0032460F"/>
    <w:rsid w:val="00325004"/>
    <w:rsid w:val="00325CD5"/>
    <w:rsid w:val="0033011C"/>
    <w:rsid w:val="0033123C"/>
    <w:rsid w:val="00331A89"/>
    <w:rsid w:val="0033346C"/>
    <w:rsid w:val="003341E3"/>
    <w:rsid w:val="00334549"/>
    <w:rsid w:val="00335FBE"/>
    <w:rsid w:val="00340421"/>
    <w:rsid w:val="003406D1"/>
    <w:rsid w:val="00340897"/>
    <w:rsid w:val="00340A0D"/>
    <w:rsid w:val="0034429D"/>
    <w:rsid w:val="00344D25"/>
    <w:rsid w:val="00345512"/>
    <w:rsid w:val="0034597B"/>
    <w:rsid w:val="00347375"/>
    <w:rsid w:val="003514E3"/>
    <w:rsid w:val="003517D2"/>
    <w:rsid w:val="00351C55"/>
    <w:rsid w:val="00352916"/>
    <w:rsid w:val="0035299F"/>
    <w:rsid w:val="00352B23"/>
    <w:rsid w:val="00355156"/>
    <w:rsid w:val="00355F14"/>
    <w:rsid w:val="00355F2A"/>
    <w:rsid w:val="003578DB"/>
    <w:rsid w:val="003578F7"/>
    <w:rsid w:val="0036047A"/>
    <w:rsid w:val="00361369"/>
    <w:rsid w:val="00361BF1"/>
    <w:rsid w:val="003628A5"/>
    <w:rsid w:val="00362AD2"/>
    <w:rsid w:val="00364144"/>
    <w:rsid w:val="00364259"/>
    <w:rsid w:val="00366B6E"/>
    <w:rsid w:val="003700CB"/>
    <w:rsid w:val="003702A0"/>
    <w:rsid w:val="00370C31"/>
    <w:rsid w:val="003713EB"/>
    <w:rsid w:val="00372F0E"/>
    <w:rsid w:val="0037304D"/>
    <w:rsid w:val="00373774"/>
    <w:rsid w:val="0037492D"/>
    <w:rsid w:val="00375B8D"/>
    <w:rsid w:val="003775A8"/>
    <w:rsid w:val="00377825"/>
    <w:rsid w:val="003807F5"/>
    <w:rsid w:val="00382445"/>
    <w:rsid w:val="00382FDD"/>
    <w:rsid w:val="003830E5"/>
    <w:rsid w:val="00383751"/>
    <w:rsid w:val="003840D8"/>
    <w:rsid w:val="00384668"/>
    <w:rsid w:val="00385416"/>
    <w:rsid w:val="003854D0"/>
    <w:rsid w:val="003868AC"/>
    <w:rsid w:val="00392003"/>
    <w:rsid w:val="00392186"/>
    <w:rsid w:val="00392894"/>
    <w:rsid w:val="00392ABD"/>
    <w:rsid w:val="00392B68"/>
    <w:rsid w:val="00393B56"/>
    <w:rsid w:val="00394C4D"/>
    <w:rsid w:val="00394D65"/>
    <w:rsid w:val="003954A0"/>
    <w:rsid w:val="00396270"/>
    <w:rsid w:val="003964B5"/>
    <w:rsid w:val="00396864"/>
    <w:rsid w:val="00396BD7"/>
    <w:rsid w:val="00397C15"/>
    <w:rsid w:val="00397CDC"/>
    <w:rsid w:val="00397D2C"/>
    <w:rsid w:val="00397F42"/>
    <w:rsid w:val="003A132E"/>
    <w:rsid w:val="003A247D"/>
    <w:rsid w:val="003A4006"/>
    <w:rsid w:val="003A5164"/>
    <w:rsid w:val="003A566C"/>
    <w:rsid w:val="003A5795"/>
    <w:rsid w:val="003B0056"/>
    <w:rsid w:val="003B0975"/>
    <w:rsid w:val="003B0C42"/>
    <w:rsid w:val="003B1459"/>
    <w:rsid w:val="003B2397"/>
    <w:rsid w:val="003B3CBF"/>
    <w:rsid w:val="003B3DD4"/>
    <w:rsid w:val="003B6102"/>
    <w:rsid w:val="003B626B"/>
    <w:rsid w:val="003B6724"/>
    <w:rsid w:val="003C0B37"/>
    <w:rsid w:val="003C0E08"/>
    <w:rsid w:val="003C1131"/>
    <w:rsid w:val="003C138D"/>
    <w:rsid w:val="003C1A92"/>
    <w:rsid w:val="003C1B5D"/>
    <w:rsid w:val="003C331B"/>
    <w:rsid w:val="003C596E"/>
    <w:rsid w:val="003C5FCF"/>
    <w:rsid w:val="003C644B"/>
    <w:rsid w:val="003C7DDF"/>
    <w:rsid w:val="003D0399"/>
    <w:rsid w:val="003D0639"/>
    <w:rsid w:val="003D123B"/>
    <w:rsid w:val="003D1451"/>
    <w:rsid w:val="003D1AD0"/>
    <w:rsid w:val="003D1E3C"/>
    <w:rsid w:val="003D239F"/>
    <w:rsid w:val="003D246F"/>
    <w:rsid w:val="003D3295"/>
    <w:rsid w:val="003D32D8"/>
    <w:rsid w:val="003D3DB0"/>
    <w:rsid w:val="003D7FC6"/>
    <w:rsid w:val="003E1D7E"/>
    <w:rsid w:val="003E20DB"/>
    <w:rsid w:val="003E346F"/>
    <w:rsid w:val="003E3850"/>
    <w:rsid w:val="003E3DD3"/>
    <w:rsid w:val="003E5B64"/>
    <w:rsid w:val="003E7885"/>
    <w:rsid w:val="003F0B27"/>
    <w:rsid w:val="003F195F"/>
    <w:rsid w:val="003F1B33"/>
    <w:rsid w:val="003F24DF"/>
    <w:rsid w:val="003F2EB9"/>
    <w:rsid w:val="003F441D"/>
    <w:rsid w:val="003F518C"/>
    <w:rsid w:val="003F5FEC"/>
    <w:rsid w:val="003F66CE"/>
    <w:rsid w:val="003F7B60"/>
    <w:rsid w:val="003F7D8E"/>
    <w:rsid w:val="0040005E"/>
    <w:rsid w:val="0040104E"/>
    <w:rsid w:val="00402335"/>
    <w:rsid w:val="00402F52"/>
    <w:rsid w:val="00402F5A"/>
    <w:rsid w:val="00403B54"/>
    <w:rsid w:val="00403C38"/>
    <w:rsid w:val="004042FF"/>
    <w:rsid w:val="0040511D"/>
    <w:rsid w:val="004056D5"/>
    <w:rsid w:val="00405D8F"/>
    <w:rsid w:val="00406765"/>
    <w:rsid w:val="00406FA9"/>
    <w:rsid w:val="00407185"/>
    <w:rsid w:val="00410DC4"/>
    <w:rsid w:val="004118A5"/>
    <w:rsid w:val="00412FE8"/>
    <w:rsid w:val="00413731"/>
    <w:rsid w:val="004145B6"/>
    <w:rsid w:val="00414E59"/>
    <w:rsid w:val="004163AA"/>
    <w:rsid w:val="00417431"/>
    <w:rsid w:val="00417990"/>
    <w:rsid w:val="00420B87"/>
    <w:rsid w:val="0042108C"/>
    <w:rsid w:val="00421274"/>
    <w:rsid w:val="00424AAE"/>
    <w:rsid w:val="00424D56"/>
    <w:rsid w:val="0042577F"/>
    <w:rsid w:val="00426D8D"/>
    <w:rsid w:val="00426FAF"/>
    <w:rsid w:val="00427892"/>
    <w:rsid w:val="00430A86"/>
    <w:rsid w:val="00431974"/>
    <w:rsid w:val="00436836"/>
    <w:rsid w:val="00436DA8"/>
    <w:rsid w:val="004377E3"/>
    <w:rsid w:val="00443FD2"/>
    <w:rsid w:val="004454FB"/>
    <w:rsid w:val="00446280"/>
    <w:rsid w:val="00450223"/>
    <w:rsid w:val="0045179B"/>
    <w:rsid w:val="0045259A"/>
    <w:rsid w:val="00452D4B"/>
    <w:rsid w:val="00453D13"/>
    <w:rsid w:val="0045483A"/>
    <w:rsid w:val="00455DDA"/>
    <w:rsid w:val="004560CB"/>
    <w:rsid w:val="004563B4"/>
    <w:rsid w:val="004569DB"/>
    <w:rsid w:val="00457E9C"/>
    <w:rsid w:val="00457F01"/>
    <w:rsid w:val="00460E72"/>
    <w:rsid w:val="0046187C"/>
    <w:rsid w:val="00464AFB"/>
    <w:rsid w:val="0046550B"/>
    <w:rsid w:val="00467771"/>
    <w:rsid w:val="004679A9"/>
    <w:rsid w:val="00467E0F"/>
    <w:rsid w:val="004712BC"/>
    <w:rsid w:val="004719FC"/>
    <w:rsid w:val="00471BA9"/>
    <w:rsid w:val="0047287C"/>
    <w:rsid w:val="00472AE9"/>
    <w:rsid w:val="00472CFF"/>
    <w:rsid w:val="004737F1"/>
    <w:rsid w:val="0047509E"/>
    <w:rsid w:val="004756B1"/>
    <w:rsid w:val="004769C6"/>
    <w:rsid w:val="004816F6"/>
    <w:rsid w:val="00482456"/>
    <w:rsid w:val="00484513"/>
    <w:rsid w:val="004858AE"/>
    <w:rsid w:val="00485E8A"/>
    <w:rsid w:val="004865FF"/>
    <w:rsid w:val="00487881"/>
    <w:rsid w:val="004924F5"/>
    <w:rsid w:val="00492982"/>
    <w:rsid w:val="00492DFB"/>
    <w:rsid w:val="004931D7"/>
    <w:rsid w:val="004945B0"/>
    <w:rsid w:val="00494E43"/>
    <w:rsid w:val="00495400"/>
    <w:rsid w:val="0049547E"/>
    <w:rsid w:val="004962A4"/>
    <w:rsid w:val="004A06A3"/>
    <w:rsid w:val="004A1878"/>
    <w:rsid w:val="004A18FF"/>
    <w:rsid w:val="004A23CC"/>
    <w:rsid w:val="004A2B4F"/>
    <w:rsid w:val="004A3291"/>
    <w:rsid w:val="004A6C5F"/>
    <w:rsid w:val="004A73B2"/>
    <w:rsid w:val="004B09E0"/>
    <w:rsid w:val="004B1EAA"/>
    <w:rsid w:val="004B2317"/>
    <w:rsid w:val="004B3773"/>
    <w:rsid w:val="004B3D43"/>
    <w:rsid w:val="004B528B"/>
    <w:rsid w:val="004B6379"/>
    <w:rsid w:val="004B6468"/>
    <w:rsid w:val="004B68F6"/>
    <w:rsid w:val="004B7105"/>
    <w:rsid w:val="004B7269"/>
    <w:rsid w:val="004B7271"/>
    <w:rsid w:val="004C0F53"/>
    <w:rsid w:val="004C121E"/>
    <w:rsid w:val="004C245B"/>
    <w:rsid w:val="004C266F"/>
    <w:rsid w:val="004C413D"/>
    <w:rsid w:val="004C46D2"/>
    <w:rsid w:val="004C4B75"/>
    <w:rsid w:val="004C4CF0"/>
    <w:rsid w:val="004C53A9"/>
    <w:rsid w:val="004C6017"/>
    <w:rsid w:val="004C6A5C"/>
    <w:rsid w:val="004C7F0D"/>
    <w:rsid w:val="004D091A"/>
    <w:rsid w:val="004D17A9"/>
    <w:rsid w:val="004D1E01"/>
    <w:rsid w:val="004D21FA"/>
    <w:rsid w:val="004D24CB"/>
    <w:rsid w:val="004D2679"/>
    <w:rsid w:val="004D2CC8"/>
    <w:rsid w:val="004D37B3"/>
    <w:rsid w:val="004D422D"/>
    <w:rsid w:val="004D534B"/>
    <w:rsid w:val="004D5F85"/>
    <w:rsid w:val="004D5FE5"/>
    <w:rsid w:val="004D73F2"/>
    <w:rsid w:val="004E09B9"/>
    <w:rsid w:val="004E11DF"/>
    <w:rsid w:val="004E3474"/>
    <w:rsid w:val="004E3921"/>
    <w:rsid w:val="004E4157"/>
    <w:rsid w:val="004E667A"/>
    <w:rsid w:val="004E7A41"/>
    <w:rsid w:val="004F0BC0"/>
    <w:rsid w:val="004F1217"/>
    <w:rsid w:val="004F15BC"/>
    <w:rsid w:val="004F1832"/>
    <w:rsid w:val="004F27B4"/>
    <w:rsid w:val="005006A7"/>
    <w:rsid w:val="005019DF"/>
    <w:rsid w:val="00501C50"/>
    <w:rsid w:val="0050290B"/>
    <w:rsid w:val="00504D99"/>
    <w:rsid w:val="005058E3"/>
    <w:rsid w:val="00507270"/>
    <w:rsid w:val="0050771F"/>
    <w:rsid w:val="00510E70"/>
    <w:rsid w:val="00510F40"/>
    <w:rsid w:val="00511C81"/>
    <w:rsid w:val="005128E1"/>
    <w:rsid w:val="00512BFD"/>
    <w:rsid w:val="00513E60"/>
    <w:rsid w:val="00514A07"/>
    <w:rsid w:val="0051556F"/>
    <w:rsid w:val="00516044"/>
    <w:rsid w:val="0051683F"/>
    <w:rsid w:val="00517D03"/>
    <w:rsid w:val="0052126E"/>
    <w:rsid w:val="00521B2E"/>
    <w:rsid w:val="00523138"/>
    <w:rsid w:val="00523648"/>
    <w:rsid w:val="005242E7"/>
    <w:rsid w:val="00524361"/>
    <w:rsid w:val="00524E69"/>
    <w:rsid w:val="0052607F"/>
    <w:rsid w:val="0052657F"/>
    <w:rsid w:val="00526A1F"/>
    <w:rsid w:val="00527462"/>
    <w:rsid w:val="00527AD1"/>
    <w:rsid w:val="00530D04"/>
    <w:rsid w:val="0053123D"/>
    <w:rsid w:val="005314AD"/>
    <w:rsid w:val="00531B65"/>
    <w:rsid w:val="00531D7A"/>
    <w:rsid w:val="00532B0D"/>
    <w:rsid w:val="005336B4"/>
    <w:rsid w:val="00533D63"/>
    <w:rsid w:val="00535501"/>
    <w:rsid w:val="00535B59"/>
    <w:rsid w:val="00536D8F"/>
    <w:rsid w:val="00536DBC"/>
    <w:rsid w:val="0053765E"/>
    <w:rsid w:val="005405D2"/>
    <w:rsid w:val="00540795"/>
    <w:rsid w:val="00540901"/>
    <w:rsid w:val="00540A6A"/>
    <w:rsid w:val="00541EAD"/>
    <w:rsid w:val="00542841"/>
    <w:rsid w:val="005433DE"/>
    <w:rsid w:val="005441BB"/>
    <w:rsid w:val="005447F2"/>
    <w:rsid w:val="00544836"/>
    <w:rsid w:val="005453FB"/>
    <w:rsid w:val="00546166"/>
    <w:rsid w:val="005464BB"/>
    <w:rsid w:val="005472FC"/>
    <w:rsid w:val="0054752D"/>
    <w:rsid w:val="005475FC"/>
    <w:rsid w:val="005507C3"/>
    <w:rsid w:val="00550E23"/>
    <w:rsid w:val="00550FC5"/>
    <w:rsid w:val="00551E38"/>
    <w:rsid w:val="005524D8"/>
    <w:rsid w:val="00553FAB"/>
    <w:rsid w:val="00554486"/>
    <w:rsid w:val="00555241"/>
    <w:rsid w:val="00556D77"/>
    <w:rsid w:val="00561AD8"/>
    <w:rsid w:val="0056228C"/>
    <w:rsid w:val="005635D9"/>
    <w:rsid w:val="00563ACD"/>
    <w:rsid w:val="0056436B"/>
    <w:rsid w:val="005644B9"/>
    <w:rsid w:val="00564885"/>
    <w:rsid w:val="0056544B"/>
    <w:rsid w:val="00565B9C"/>
    <w:rsid w:val="00570214"/>
    <w:rsid w:val="00570926"/>
    <w:rsid w:val="0057120B"/>
    <w:rsid w:val="005719A9"/>
    <w:rsid w:val="00572B23"/>
    <w:rsid w:val="005730C3"/>
    <w:rsid w:val="00574059"/>
    <w:rsid w:val="00574F7D"/>
    <w:rsid w:val="0057593F"/>
    <w:rsid w:val="005762B2"/>
    <w:rsid w:val="00577E8F"/>
    <w:rsid w:val="00581EF1"/>
    <w:rsid w:val="00582100"/>
    <w:rsid w:val="00586233"/>
    <w:rsid w:val="0058682C"/>
    <w:rsid w:val="00586B2C"/>
    <w:rsid w:val="0058765D"/>
    <w:rsid w:val="00587E22"/>
    <w:rsid w:val="005902C4"/>
    <w:rsid w:val="00590A8E"/>
    <w:rsid w:val="00592273"/>
    <w:rsid w:val="0059347D"/>
    <w:rsid w:val="005935A7"/>
    <w:rsid w:val="005937F2"/>
    <w:rsid w:val="005941E4"/>
    <w:rsid w:val="00594472"/>
    <w:rsid w:val="00594C13"/>
    <w:rsid w:val="00596CD3"/>
    <w:rsid w:val="005A1EEF"/>
    <w:rsid w:val="005A25D0"/>
    <w:rsid w:val="005A2712"/>
    <w:rsid w:val="005A2958"/>
    <w:rsid w:val="005A4036"/>
    <w:rsid w:val="005A5E4A"/>
    <w:rsid w:val="005B09F4"/>
    <w:rsid w:val="005B28AC"/>
    <w:rsid w:val="005B3034"/>
    <w:rsid w:val="005B39A6"/>
    <w:rsid w:val="005C0073"/>
    <w:rsid w:val="005C0707"/>
    <w:rsid w:val="005C10F7"/>
    <w:rsid w:val="005C1C95"/>
    <w:rsid w:val="005C2FB1"/>
    <w:rsid w:val="005C3149"/>
    <w:rsid w:val="005C34E6"/>
    <w:rsid w:val="005C4492"/>
    <w:rsid w:val="005C5BFE"/>
    <w:rsid w:val="005C6741"/>
    <w:rsid w:val="005C7327"/>
    <w:rsid w:val="005D0E15"/>
    <w:rsid w:val="005D2CC4"/>
    <w:rsid w:val="005D3453"/>
    <w:rsid w:val="005D3F6A"/>
    <w:rsid w:val="005D5EEF"/>
    <w:rsid w:val="005D5F01"/>
    <w:rsid w:val="005E0D07"/>
    <w:rsid w:val="005E2752"/>
    <w:rsid w:val="005E4C54"/>
    <w:rsid w:val="005E5F79"/>
    <w:rsid w:val="005E5F84"/>
    <w:rsid w:val="005E75B9"/>
    <w:rsid w:val="005E78AB"/>
    <w:rsid w:val="005E7B22"/>
    <w:rsid w:val="005F0001"/>
    <w:rsid w:val="005F04FD"/>
    <w:rsid w:val="005F07DA"/>
    <w:rsid w:val="005F109D"/>
    <w:rsid w:val="005F19F4"/>
    <w:rsid w:val="005F247A"/>
    <w:rsid w:val="005F2A32"/>
    <w:rsid w:val="005F3524"/>
    <w:rsid w:val="005F3FCD"/>
    <w:rsid w:val="005F42D7"/>
    <w:rsid w:val="005F72A2"/>
    <w:rsid w:val="005F7845"/>
    <w:rsid w:val="006005F8"/>
    <w:rsid w:val="00600913"/>
    <w:rsid w:val="00602C1B"/>
    <w:rsid w:val="00604E8C"/>
    <w:rsid w:val="006050FE"/>
    <w:rsid w:val="006059F7"/>
    <w:rsid w:val="00605F62"/>
    <w:rsid w:val="00606350"/>
    <w:rsid w:val="00610A5C"/>
    <w:rsid w:val="006111D4"/>
    <w:rsid w:val="00611326"/>
    <w:rsid w:val="006115BC"/>
    <w:rsid w:val="00611EB9"/>
    <w:rsid w:val="00612CDD"/>
    <w:rsid w:val="00612EA7"/>
    <w:rsid w:val="00612F60"/>
    <w:rsid w:val="00614309"/>
    <w:rsid w:val="0061543E"/>
    <w:rsid w:val="0061581C"/>
    <w:rsid w:val="00615AAD"/>
    <w:rsid w:val="00616DF5"/>
    <w:rsid w:val="006174C3"/>
    <w:rsid w:val="00617DC0"/>
    <w:rsid w:val="00621AD2"/>
    <w:rsid w:val="00621C27"/>
    <w:rsid w:val="00622EA7"/>
    <w:rsid w:val="006241CF"/>
    <w:rsid w:val="00626375"/>
    <w:rsid w:val="00626CEA"/>
    <w:rsid w:val="0062773C"/>
    <w:rsid w:val="006308C7"/>
    <w:rsid w:val="00631068"/>
    <w:rsid w:val="00632C36"/>
    <w:rsid w:val="00635C7D"/>
    <w:rsid w:val="00636B6D"/>
    <w:rsid w:val="0063713B"/>
    <w:rsid w:val="00637F4B"/>
    <w:rsid w:val="0064101D"/>
    <w:rsid w:val="00641399"/>
    <w:rsid w:val="00642D5E"/>
    <w:rsid w:val="00643004"/>
    <w:rsid w:val="006463B5"/>
    <w:rsid w:val="00647325"/>
    <w:rsid w:val="00647395"/>
    <w:rsid w:val="00647A63"/>
    <w:rsid w:val="006506F1"/>
    <w:rsid w:val="006512E5"/>
    <w:rsid w:val="00651F84"/>
    <w:rsid w:val="00652260"/>
    <w:rsid w:val="0065250A"/>
    <w:rsid w:val="00652887"/>
    <w:rsid w:val="00653FAD"/>
    <w:rsid w:val="00655267"/>
    <w:rsid w:val="00660CA1"/>
    <w:rsid w:val="00661B48"/>
    <w:rsid w:val="00662A07"/>
    <w:rsid w:val="00662B87"/>
    <w:rsid w:val="00663A38"/>
    <w:rsid w:val="00663E81"/>
    <w:rsid w:val="0066517A"/>
    <w:rsid w:val="00665700"/>
    <w:rsid w:val="0066579A"/>
    <w:rsid w:val="00665F7E"/>
    <w:rsid w:val="006666DF"/>
    <w:rsid w:val="00666FAE"/>
    <w:rsid w:val="00672AF7"/>
    <w:rsid w:val="00673C1B"/>
    <w:rsid w:val="00675835"/>
    <w:rsid w:val="00676FAA"/>
    <w:rsid w:val="00677044"/>
    <w:rsid w:val="00677137"/>
    <w:rsid w:val="00677168"/>
    <w:rsid w:val="00680078"/>
    <w:rsid w:val="00682476"/>
    <w:rsid w:val="006862AD"/>
    <w:rsid w:val="006864DB"/>
    <w:rsid w:val="00687194"/>
    <w:rsid w:val="00690A19"/>
    <w:rsid w:val="006916BC"/>
    <w:rsid w:val="00691A95"/>
    <w:rsid w:val="00692B9F"/>
    <w:rsid w:val="00694170"/>
    <w:rsid w:val="00694C5C"/>
    <w:rsid w:val="0069502F"/>
    <w:rsid w:val="006958BB"/>
    <w:rsid w:val="006966E1"/>
    <w:rsid w:val="00696F33"/>
    <w:rsid w:val="006971E1"/>
    <w:rsid w:val="006A0B1B"/>
    <w:rsid w:val="006A15E8"/>
    <w:rsid w:val="006A269C"/>
    <w:rsid w:val="006A47D7"/>
    <w:rsid w:val="006A4D23"/>
    <w:rsid w:val="006A5267"/>
    <w:rsid w:val="006A5737"/>
    <w:rsid w:val="006A5F29"/>
    <w:rsid w:val="006A657D"/>
    <w:rsid w:val="006A6DBE"/>
    <w:rsid w:val="006A6DE9"/>
    <w:rsid w:val="006A7930"/>
    <w:rsid w:val="006B07F6"/>
    <w:rsid w:val="006B269D"/>
    <w:rsid w:val="006B2EEF"/>
    <w:rsid w:val="006B3328"/>
    <w:rsid w:val="006B5220"/>
    <w:rsid w:val="006B59E8"/>
    <w:rsid w:val="006B65EC"/>
    <w:rsid w:val="006B73CC"/>
    <w:rsid w:val="006B7F73"/>
    <w:rsid w:val="006C117A"/>
    <w:rsid w:val="006C16D3"/>
    <w:rsid w:val="006C1844"/>
    <w:rsid w:val="006C39F6"/>
    <w:rsid w:val="006C4A9E"/>
    <w:rsid w:val="006C54FC"/>
    <w:rsid w:val="006C5734"/>
    <w:rsid w:val="006C74ED"/>
    <w:rsid w:val="006C759E"/>
    <w:rsid w:val="006C7EE2"/>
    <w:rsid w:val="006C7FC3"/>
    <w:rsid w:val="006D011E"/>
    <w:rsid w:val="006D0DE2"/>
    <w:rsid w:val="006D0E95"/>
    <w:rsid w:val="006D1046"/>
    <w:rsid w:val="006D10C3"/>
    <w:rsid w:val="006D1453"/>
    <w:rsid w:val="006D18AF"/>
    <w:rsid w:val="006D3274"/>
    <w:rsid w:val="006D336F"/>
    <w:rsid w:val="006D33AE"/>
    <w:rsid w:val="006D3B1A"/>
    <w:rsid w:val="006D42F2"/>
    <w:rsid w:val="006D4506"/>
    <w:rsid w:val="006D5DC1"/>
    <w:rsid w:val="006D5E00"/>
    <w:rsid w:val="006D71BB"/>
    <w:rsid w:val="006E0089"/>
    <w:rsid w:val="006E0FDA"/>
    <w:rsid w:val="006E1E28"/>
    <w:rsid w:val="006E1E58"/>
    <w:rsid w:val="006E2CE0"/>
    <w:rsid w:val="006E408F"/>
    <w:rsid w:val="006E4126"/>
    <w:rsid w:val="006E4820"/>
    <w:rsid w:val="006E4CC9"/>
    <w:rsid w:val="006E4D67"/>
    <w:rsid w:val="006E5C50"/>
    <w:rsid w:val="006E696B"/>
    <w:rsid w:val="006E7B69"/>
    <w:rsid w:val="006F0082"/>
    <w:rsid w:val="006F0DC2"/>
    <w:rsid w:val="006F0E77"/>
    <w:rsid w:val="006F115F"/>
    <w:rsid w:val="006F1502"/>
    <w:rsid w:val="006F2DFE"/>
    <w:rsid w:val="006F42EC"/>
    <w:rsid w:val="006F59A9"/>
    <w:rsid w:val="006F5A6C"/>
    <w:rsid w:val="006F5B0C"/>
    <w:rsid w:val="00700A42"/>
    <w:rsid w:val="007017D0"/>
    <w:rsid w:val="00704680"/>
    <w:rsid w:val="007047F4"/>
    <w:rsid w:val="00704AAF"/>
    <w:rsid w:val="00705A7A"/>
    <w:rsid w:val="00705D38"/>
    <w:rsid w:val="0070640F"/>
    <w:rsid w:val="007076FA"/>
    <w:rsid w:val="00710CD4"/>
    <w:rsid w:val="007110EE"/>
    <w:rsid w:val="00712B04"/>
    <w:rsid w:val="0071371B"/>
    <w:rsid w:val="00713970"/>
    <w:rsid w:val="00714F48"/>
    <w:rsid w:val="00715BCB"/>
    <w:rsid w:val="00715E0D"/>
    <w:rsid w:val="00715F08"/>
    <w:rsid w:val="00716219"/>
    <w:rsid w:val="0071630B"/>
    <w:rsid w:val="00717923"/>
    <w:rsid w:val="00717FB0"/>
    <w:rsid w:val="007210A6"/>
    <w:rsid w:val="00721A50"/>
    <w:rsid w:val="00721A95"/>
    <w:rsid w:val="0072202D"/>
    <w:rsid w:val="007265E5"/>
    <w:rsid w:val="00726628"/>
    <w:rsid w:val="00726DAA"/>
    <w:rsid w:val="00727D4D"/>
    <w:rsid w:val="00730D54"/>
    <w:rsid w:val="007317A7"/>
    <w:rsid w:val="007318DE"/>
    <w:rsid w:val="007319C6"/>
    <w:rsid w:val="00733A55"/>
    <w:rsid w:val="00735267"/>
    <w:rsid w:val="0073566F"/>
    <w:rsid w:val="007358D1"/>
    <w:rsid w:val="0073596A"/>
    <w:rsid w:val="00735DD3"/>
    <w:rsid w:val="007374CF"/>
    <w:rsid w:val="00737C38"/>
    <w:rsid w:val="00743722"/>
    <w:rsid w:val="00744D16"/>
    <w:rsid w:val="00745D5B"/>
    <w:rsid w:val="0074654A"/>
    <w:rsid w:val="00747BE2"/>
    <w:rsid w:val="0075116B"/>
    <w:rsid w:val="00752C65"/>
    <w:rsid w:val="00753094"/>
    <w:rsid w:val="00753FF9"/>
    <w:rsid w:val="007544CC"/>
    <w:rsid w:val="007571EE"/>
    <w:rsid w:val="00757534"/>
    <w:rsid w:val="007609C6"/>
    <w:rsid w:val="00760C11"/>
    <w:rsid w:val="00762147"/>
    <w:rsid w:val="00762876"/>
    <w:rsid w:val="0076436B"/>
    <w:rsid w:val="00765441"/>
    <w:rsid w:val="007663F0"/>
    <w:rsid w:val="00766D44"/>
    <w:rsid w:val="00766FBC"/>
    <w:rsid w:val="00767392"/>
    <w:rsid w:val="00770569"/>
    <w:rsid w:val="00771616"/>
    <w:rsid w:val="00772FC8"/>
    <w:rsid w:val="0077305E"/>
    <w:rsid w:val="0077305F"/>
    <w:rsid w:val="0077391E"/>
    <w:rsid w:val="00774B67"/>
    <w:rsid w:val="00775332"/>
    <w:rsid w:val="007767AB"/>
    <w:rsid w:val="00776B98"/>
    <w:rsid w:val="00777BF7"/>
    <w:rsid w:val="00781E82"/>
    <w:rsid w:val="00782B35"/>
    <w:rsid w:val="00783D87"/>
    <w:rsid w:val="007840CE"/>
    <w:rsid w:val="0078448A"/>
    <w:rsid w:val="00784948"/>
    <w:rsid w:val="00784B3E"/>
    <w:rsid w:val="00785EB5"/>
    <w:rsid w:val="007861C5"/>
    <w:rsid w:val="0078640B"/>
    <w:rsid w:val="00786736"/>
    <w:rsid w:val="0079044F"/>
    <w:rsid w:val="00790C66"/>
    <w:rsid w:val="0079210C"/>
    <w:rsid w:val="007928DD"/>
    <w:rsid w:val="00793120"/>
    <w:rsid w:val="0079430D"/>
    <w:rsid w:val="00796600"/>
    <w:rsid w:val="00797129"/>
    <w:rsid w:val="007979E8"/>
    <w:rsid w:val="00797ECC"/>
    <w:rsid w:val="007A0685"/>
    <w:rsid w:val="007A20C8"/>
    <w:rsid w:val="007A2700"/>
    <w:rsid w:val="007A46BE"/>
    <w:rsid w:val="007A4F0E"/>
    <w:rsid w:val="007A4FF6"/>
    <w:rsid w:val="007A5AEE"/>
    <w:rsid w:val="007A71B4"/>
    <w:rsid w:val="007B07EF"/>
    <w:rsid w:val="007B2AC2"/>
    <w:rsid w:val="007B2B58"/>
    <w:rsid w:val="007B4FBE"/>
    <w:rsid w:val="007B67BA"/>
    <w:rsid w:val="007B6B15"/>
    <w:rsid w:val="007B7CFD"/>
    <w:rsid w:val="007C0B22"/>
    <w:rsid w:val="007C3B02"/>
    <w:rsid w:val="007C3C31"/>
    <w:rsid w:val="007C40E9"/>
    <w:rsid w:val="007C4524"/>
    <w:rsid w:val="007C4E15"/>
    <w:rsid w:val="007C5E2B"/>
    <w:rsid w:val="007C6FFB"/>
    <w:rsid w:val="007D02C7"/>
    <w:rsid w:val="007D2467"/>
    <w:rsid w:val="007D35FE"/>
    <w:rsid w:val="007D6191"/>
    <w:rsid w:val="007D6AE3"/>
    <w:rsid w:val="007D778D"/>
    <w:rsid w:val="007E0643"/>
    <w:rsid w:val="007E1553"/>
    <w:rsid w:val="007E2F12"/>
    <w:rsid w:val="007E39CA"/>
    <w:rsid w:val="007E3A13"/>
    <w:rsid w:val="007E3A4E"/>
    <w:rsid w:val="007E3ECB"/>
    <w:rsid w:val="007E5785"/>
    <w:rsid w:val="007E6583"/>
    <w:rsid w:val="007E69AC"/>
    <w:rsid w:val="007E7088"/>
    <w:rsid w:val="007F0478"/>
    <w:rsid w:val="007F0C8D"/>
    <w:rsid w:val="007F163D"/>
    <w:rsid w:val="007F416B"/>
    <w:rsid w:val="007F7282"/>
    <w:rsid w:val="00800359"/>
    <w:rsid w:val="00801038"/>
    <w:rsid w:val="00801E4C"/>
    <w:rsid w:val="008043DB"/>
    <w:rsid w:val="00805137"/>
    <w:rsid w:val="0080673F"/>
    <w:rsid w:val="00807D16"/>
    <w:rsid w:val="0081174D"/>
    <w:rsid w:val="0081221B"/>
    <w:rsid w:val="008130B5"/>
    <w:rsid w:val="00813169"/>
    <w:rsid w:val="008137D1"/>
    <w:rsid w:val="008141CA"/>
    <w:rsid w:val="00814231"/>
    <w:rsid w:val="00814D2F"/>
    <w:rsid w:val="008156EB"/>
    <w:rsid w:val="00816A75"/>
    <w:rsid w:val="00816E77"/>
    <w:rsid w:val="00816EA4"/>
    <w:rsid w:val="00817615"/>
    <w:rsid w:val="00820639"/>
    <w:rsid w:val="00821E61"/>
    <w:rsid w:val="00823779"/>
    <w:rsid w:val="00826B37"/>
    <w:rsid w:val="00826B88"/>
    <w:rsid w:val="00826D59"/>
    <w:rsid w:val="00827AED"/>
    <w:rsid w:val="008312D4"/>
    <w:rsid w:val="0083271A"/>
    <w:rsid w:val="00834797"/>
    <w:rsid w:val="0083552A"/>
    <w:rsid w:val="00836A91"/>
    <w:rsid w:val="00836DA2"/>
    <w:rsid w:val="0084045E"/>
    <w:rsid w:val="0084213E"/>
    <w:rsid w:val="00843990"/>
    <w:rsid w:val="008456DF"/>
    <w:rsid w:val="00845739"/>
    <w:rsid w:val="00845ED2"/>
    <w:rsid w:val="00846028"/>
    <w:rsid w:val="00846034"/>
    <w:rsid w:val="00846112"/>
    <w:rsid w:val="00846CAD"/>
    <w:rsid w:val="00846E21"/>
    <w:rsid w:val="00850DA8"/>
    <w:rsid w:val="00850FDC"/>
    <w:rsid w:val="00851094"/>
    <w:rsid w:val="00852226"/>
    <w:rsid w:val="00854E13"/>
    <w:rsid w:val="008557BC"/>
    <w:rsid w:val="00856A83"/>
    <w:rsid w:val="00856EB7"/>
    <w:rsid w:val="00856FBC"/>
    <w:rsid w:val="00857566"/>
    <w:rsid w:val="00861FEE"/>
    <w:rsid w:val="00863CB4"/>
    <w:rsid w:val="0086521F"/>
    <w:rsid w:val="00867A28"/>
    <w:rsid w:val="00867F97"/>
    <w:rsid w:val="0087085C"/>
    <w:rsid w:val="00871D5C"/>
    <w:rsid w:val="0087250A"/>
    <w:rsid w:val="0087304E"/>
    <w:rsid w:val="00874AB4"/>
    <w:rsid w:val="00875082"/>
    <w:rsid w:val="0087700E"/>
    <w:rsid w:val="0087797D"/>
    <w:rsid w:val="00877C00"/>
    <w:rsid w:val="00880421"/>
    <w:rsid w:val="00880814"/>
    <w:rsid w:val="00881B83"/>
    <w:rsid w:val="00882C4F"/>
    <w:rsid w:val="00885941"/>
    <w:rsid w:val="00885DD3"/>
    <w:rsid w:val="00886CA6"/>
    <w:rsid w:val="0088777C"/>
    <w:rsid w:val="00887AFE"/>
    <w:rsid w:val="008900B1"/>
    <w:rsid w:val="00891125"/>
    <w:rsid w:val="00894883"/>
    <w:rsid w:val="00895D24"/>
    <w:rsid w:val="0089613A"/>
    <w:rsid w:val="00896343"/>
    <w:rsid w:val="00897210"/>
    <w:rsid w:val="00897691"/>
    <w:rsid w:val="008A0274"/>
    <w:rsid w:val="008A2169"/>
    <w:rsid w:val="008A51FD"/>
    <w:rsid w:val="008A530D"/>
    <w:rsid w:val="008A62B9"/>
    <w:rsid w:val="008A6B12"/>
    <w:rsid w:val="008A6E7B"/>
    <w:rsid w:val="008A704A"/>
    <w:rsid w:val="008A7C58"/>
    <w:rsid w:val="008A7D57"/>
    <w:rsid w:val="008B0302"/>
    <w:rsid w:val="008B05CF"/>
    <w:rsid w:val="008B0BB6"/>
    <w:rsid w:val="008B0C86"/>
    <w:rsid w:val="008B1883"/>
    <w:rsid w:val="008B1B32"/>
    <w:rsid w:val="008B25FE"/>
    <w:rsid w:val="008B2776"/>
    <w:rsid w:val="008B372D"/>
    <w:rsid w:val="008B61CC"/>
    <w:rsid w:val="008B6D10"/>
    <w:rsid w:val="008B72C3"/>
    <w:rsid w:val="008C1DAC"/>
    <w:rsid w:val="008C29AB"/>
    <w:rsid w:val="008C3171"/>
    <w:rsid w:val="008C31BA"/>
    <w:rsid w:val="008C393E"/>
    <w:rsid w:val="008C4C7B"/>
    <w:rsid w:val="008C51E9"/>
    <w:rsid w:val="008C553B"/>
    <w:rsid w:val="008D0BC1"/>
    <w:rsid w:val="008D15B1"/>
    <w:rsid w:val="008D23A1"/>
    <w:rsid w:val="008D2C2F"/>
    <w:rsid w:val="008D4BA2"/>
    <w:rsid w:val="008D4DC4"/>
    <w:rsid w:val="008D50A0"/>
    <w:rsid w:val="008D567B"/>
    <w:rsid w:val="008D6B64"/>
    <w:rsid w:val="008D6EFC"/>
    <w:rsid w:val="008E0B2D"/>
    <w:rsid w:val="008E1853"/>
    <w:rsid w:val="008E294C"/>
    <w:rsid w:val="008E3B86"/>
    <w:rsid w:val="008E46B3"/>
    <w:rsid w:val="008E6FB1"/>
    <w:rsid w:val="008E704B"/>
    <w:rsid w:val="008E7C71"/>
    <w:rsid w:val="008E7DC6"/>
    <w:rsid w:val="008F10E2"/>
    <w:rsid w:val="008F11AB"/>
    <w:rsid w:val="008F11C1"/>
    <w:rsid w:val="008F25B3"/>
    <w:rsid w:val="008F3019"/>
    <w:rsid w:val="008F31F7"/>
    <w:rsid w:val="008F5707"/>
    <w:rsid w:val="008F6B91"/>
    <w:rsid w:val="008F6E82"/>
    <w:rsid w:val="008F7EE9"/>
    <w:rsid w:val="00900111"/>
    <w:rsid w:val="00900760"/>
    <w:rsid w:val="00901396"/>
    <w:rsid w:val="00901415"/>
    <w:rsid w:val="009026FF"/>
    <w:rsid w:val="00903B8D"/>
    <w:rsid w:val="00903EF1"/>
    <w:rsid w:val="00905782"/>
    <w:rsid w:val="00906140"/>
    <w:rsid w:val="009069CA"/>
    <w:rsid w:val="00906A8A"/>
    <w:rsid w:val="00906F9A"/>
    <w:rsid w:val="00907579"/>
    <w:rsid w:val="00907969"/>
    <w:rsid w:val="00910ADF"/>
    <w:rsid w:val="00911033"/>
    <w:rsid w:val="00911B9D"/>
    <w:rsid w:val="00912454"/>
    <w:rsid w:val="009126A7"/>
    <w:rsid w:val="009126D0"/>
    <w:rsid w:val="0091317E"/>
    <w:rsid w:val="0091335F"/>
    <w:rsid w:val="0091340A"/>
    <w:rsid w:val="00913935"/>
    <w:rsid w:val="009147F8"/>
    <w:rsid w:val="00914A1B"/>
    <w:rsid w:val="00914FEC"/>
    <w:rsid w:val="00915D1F"/>
    <w:rsid w:val="009224B0"/>
    <w:rsid w:val="009234C3"/>
    <w:rsid w:val="00923579"/>
    <w:rsid w:val="00923C60"/>
    <w:rsid w:val="00923CE6"/>
    <w:rsid w:val="00924F80"/>
    <w:rsid w:val="00925487"/>
    <w:rsid w:val="00925F33"/>
    <w:rsid w:val="00927CCC"/>
    <w:rsid w:val="009303E4"/>
    <w:rsid w:val="00930704"/>
    <w:rsid w:val="00930855"/>
    <w:rsid w:val="00930BAE"/>
    <w:rsid w:val="00930FC0"/>
    <w:rsid w:val="00931D88"/>
    <w:rsid w:val="009323E5"/>
    <w:rsid w:val="00933B62"/>
    <w:rsid w:val="0094113B"/>
    <w:rsid w:val="009419D9"/>
    <w:rsid w:val="009435A5"/>
    <w:rsid w:val="0094463D"/>
    <w:rsid w:val="00944715"/>
    <w:rsid w:val="009472EB"/>
    <w:rsid w:val="0094787B"/>
    <w:rsid w:val="00950066"/>
    <w:rsid w:val="009505BE"/>
    <w:rsid w:val="00952310"/>
    <w:rsid w:val="00953E73"/>
    <w:rsid w:val="0095484D"/>
    <w:rsid w:val="00954A0F"/>
    <w:rsid w:val="0095522B"/>
    <w:rsid w:val="00955D69"/>
    <w:rsid w:val="009575A1"/>
    <w:rsid w:val="00957E5E"/>
    <w:rsid w:val="009614DE"/>
    <w:rsid w:val="009619F8"/>
    <w:rsid w:val="00961BE8"/>
    <w:rsid w:val="00961D8C"/>
    <w:rsid w:val="00963085"/>
    <w:rsid w:val="00963638"/>
    <w:rsid w:val="0096421B"/>
    <w:rsid w:val="00964309"/>
    <w:rsid w:val="009645DB"/>
    <w:rsid w:val="00965587"/>
    <w:rsid w:val="00970898"/>
    <w:rsid w:val="00970C76"/>
    <w:rsid w:val="00971536"/>
    <w:rsid w:val="009716C3"/>
    <w:rsid w:val="009719EE"/>
    <w:rsid w:val="0097219E"/>
    <w:rsid w:val="00975E25"/>
    <w:rsid w:val="009760C7"/>
    <w:rsid w:val="00980CDA"/>
    <w:rsid w:val="00983ABD"/>
    <w:rsid w:val="0098464B"/>
    <w:rsid w:val="00985AB9"/>
    <w:rsid w:val="00985E22"/>
    <w:rsid w:val="0098640E"/>
    <w:rsid w:val="009869D5"/>
    <w:rsid w:val="00986FC9"/>
    <w:rsid w:val="00990CE6"/>
    <w:rsid w:val="00990E04"/>
    <w:rsid w:val="0099254D"/>
    <w:rsid w:val="0099298E"/>
    <w:rsid w:val="00993EC8"/>
    <w:rsid w:val="0099589C"/>
    <w:rsid w:val="009960E9"/>
    <w:rsid w:val="00996EE0"/>
    <w:rsid w:val="009A065D"/>
    <w:rsid w:val="009A085F"/>
    <w:rsid w:val="009A1C38"/>
    <w:rsid w:val="009A4104"/>
    <w:rsid w:val="009A48E7"/>
    <w:rsid w:val="009A5894"/>
    <w:rsid w:val="009B0167"/>
    <w:rsid w:val="009B05A0"/>
    <w:rsid w:val="009B08FA"/>
    <w:rsid w:val="009B1432"/>
    <w:rsid w:val="009B1657"/>
    <w:rsid w:val="009B1E62"/>
    <w:rsid w:val="009B203F"/>
    <w:rsid w:val="009B30A1"/>
    <w:rsid w:val="009B4A45"/>
    <w:rsid w:val="009B4C31"/>
    <w:rsid w:val="009B5554"/>
    <w:rsid w:val="009B5691"/>
    <w:rsid w:val="009B658B"/>
    <w:rsid w:val="009B6F7F"/>
    <w:rsid w:val="009B7C25"/>
    <w:rsid w:val="009C094C"/>
    <w:rsid w:val="009C1ADF"/>
    <w:rsid w:val="009C3D9D"/>
    <w:rsid w:val="009C4FB0"/>
    <w:rsid w:val="009C624A"/>
    <w:rsid w:val="009C733C"/>
    <w:rsid w:val="009D0256"/>
    <w:rsid w:val="009D07CC"/>
    <w:rsid w:val="009D0ADE"/>
    <w:rsid w:val="009D0D17"/>
    <w:rsid w:val="009D1AF1"/>
    <w:rsid w:val="009D1F3C"/>
    <w:rsid w:val="009D204E"/>
    <w:rsid w:val="009D59D1"/>
    <w:rsid w:val="009D5C09"/>
    <w:rsid w:val="009D61DB"/>
    <w:rsid w:val="009E2668"/>
    <w:rsid w:val="009E2AC6"/>
    <w:rsid w:val="009E3220"/>
    <w:rsid w:val="009E43F3"/>
    <w:rsid w:val="009E5E3B"/>
    <w:rsid w:val="009E5EDA"/>
    <w:rsid w:val="009E7286"/>
    <w:rsid w:val="009E77AA"/>
    <w:rsid w:val="009F0466"/>
    <w:rsid w:val="009F054C"/>
    <w:rsid w:val="009F0C14"/>
    <w:rsid w:val="009F119D"/>
    <w:rsid w:val="009F35D2"/>
    <w:rsid w:val="009F36D4"/>
    <w:rsid w:val="009F4E9A"/>
    <w:rsid w:val="009F5D22"/>
    <w:rsid w:val="009F5E81"/>
    <w:rsid w:val="009F6897"/>
    <w:rsid w:val="009F68FF"/>
    <w:rsid w:val="00A0045A"/>
    <w:rsid w:val="00A01C3F"/>
    <w:rsid w:val="00A02306"/>
    <w:rsid w:val="00A024AD"/>
    <w:rsid w:val="00A0305B"/>
    <w:rsid w:val="00A04218"/>
    <w:rsid w:val="00A0689F"/>
    <w:rsid w:val="00A07EBA"/>
    <w:rsid w:val="00A10DFA"/>
    <w:rsid w:val="00A11269"/>
    <w:rsid w:val="00A1152D"/>
    <w:rsid w:val="00A11635"/>
    <w:rsid w:val="00A133CF"/>
    <w:rsid w:val="00A13443"/>
    <w:rsid w:val="00A139B5"/>
    <w:rsid w:val="00A165AF"/>
    <w:rsid w:val="00A178EE"/>
    <w:rsid w:val="00A17959"/>
    <w:rsid w:val="00A17B41"/>
    <w:rsid w:val="00A17E25"/>
    <w:rsid w:val="00A17E77"/>
    <w:rsid w:val="00A207CD"/>
    <w:rsid w:val="00A20A81"/>
    <w:rsid w:val="00A2163C"/>
    <w:rsid w:val="00A24091"/>
    <w:rsid w:val="00A243C8"/>
    <w:rsid w:val="00A2455D"/>
    <w:rsid w:val="00A24D57"/>
    <w:rsid w:val="00A26B33"/>
    <w:rsid w:val="00A26F40"/>
    <w:rsid w:val="00A279A0"/>
    <w:rsid w:val="00A31833"/>
    <w:rsid w:val="00A327E5"/>
    <w:rsid w:val="00A334D6"/>
    <w:rsid w:val="00A33735"/>
    <w:rsid w:val="00A33A7A"/>
    <w:rsid w:val="00A33D5D"/>
    <w:rsid w:val="00A34175"/>
    <w:rsid w:val="00A34FE7"/>
    <w:rsid w:val="00A358EF"/>
    <w:rsid w:val="00A3613C"/>
    <w:rsid w:val="00A372F7"/>
    <w:rsid w:val="00A375A8"/>
    <w:rsid w:val="00A40EE7"/>
    <w:rsid w:val="00A411F7"/>
    <w:rsid w:val="00A42BC8"/>
    <w:rsid w:val="00A5049E"/>
    <w:rsid w:val="00A524AF"/>
    <w:rsid w:val="00A5276E"/>
    <w:rsid w:val="00A53C14"/>
    <w:rsid w:val="00A56292"/>
    <w:rsid w:val="00A57452"/>
    <w:rsid w:val="00A620B7"/>
    <w:rsid w:val="00A6230B"/>
    <w:rsid w:val="00A62FF1"/>
    <w:rsid w:val="00A63351"/>
    <w:rsid w:val="00A63502"/>
    <w:rsid w:val="00A64373"/>
    <w:rsid w:val="00A64FF5"/>
    <w:rsid w:val="00A656B0"/>
    <w:rsid w:val="00A65C1E"/>
    <w:rsid w:val="00A65D73"/>
    <w:rsid w:val="00A66A66"/>
    <w:rsid w:val="00A66AF9"/>
    <w:rsid w:val="00A676CB"/>
    <w:rsid w:val="00A6782E"/>
    <w:rsid w:val="00A7029F"/>
    <w:rsid w:val="00A706B9"/>
    <w:rsid w:val="00A715BE"/>
    <w:rsid w:val="00A71BDA"/>
    <w:rsid w:val="00A73B3D"/>
    <w:rsid w:val="00A7445D"/>
    <w:rsid w:val="00A74EA5"/>
    <w:rsid w:val="00A76CE6"/>
    <w:rsid w:val="00A776D6"/>
    <w:rsid w:val="00A80E5C"/>
    <w:rsid w:val="00A81231"/>
    <w:rsid w:val="00A81C47"/>
    <w:rsid w:val="00A81D9A"/>
    <w:rsid w:val="00A82520"/>
    <w:rsid w:val="00A82FF1"/>
    <w:rsid w:val="00A83CCC"/>
    <w:rsid w:val="00A84C8E"/>
    <w:rsid w:val="00A850F2"/>
    <w:rsid w:val="00A85829"/>
    <w:rsid w:val="00A85C90"/>
    <w:rsid w:val="00A86195"/>
    <w:rsid w:val="00A8632E"/>
    <w:rsid w:val="00A87137"/>
    <w:rsid w:val="00A8783A"/>
    <w:rsid w:val="00A91562"/>
    <w:rsid w:val="00A93C20"/>
    <w:rsid w:val="00A9738C"/>
    <w:rsid w:val="00AA196A"/>
    <w:rsid w:val="00AA44D6"/>
    <w:rsid w:val="00AA483F"/>
    <w:rsid w:val="00AA4F8A"/>
    <w:rsid w:val="00AA5186"/>
    <w:rsid w:val="00AA69BA"/>
    <w:rsid w:val="00AA7375"/>
    <w:rsid w:val="00AB0890"/>
    <w:rsid w:val="00AB11FE"/>
    <w:rsid w:val="00AB1870"/>
    <w:rsid w:val="00AB2861"/>
    <w:rsid w:val="00AB28DA"/>
    <w:rsid w:val="00AB3294"/>
    <w:rsid w:val="00AB33E1"/>
    <w:rsid w:val="00AB475F"/>
    <w:rsid w:val="00AB7D15"/>
    <w:rsid w:val="00AB7EB4"/>
    <w:rsid w:val="00AC0E21"/>
    <w:rsid w:val="00AC0E9C"/>
    <w:rsid w:val="00AC2991"/>
    <w:rsid w:val="00AC41F9"/>
    <w:rsid w:val="00AC58CB"/>
    <w:rsid w:val="00AC6A6D"/>
    <w:rsid w:val="00AD0268"/>
    <w:rsid w:val="00AD12DC"/>
    <w:rsid w:val="00AD1E27"/>
    <w:rsid w:val="00AD26C1"/>
    <w:rsid w:val="00AD27BC"/>
    <w:rsid w:val="00AD29AA"/>
    <w:rsid w:val="00AD4F30"/>
    <w:rsid w:val="00AD5AD6"/>
    <w:rsid w:val="00AD62DB"/>
    <w:rsid w:val="00AD6B9F"/>
    <w:rsid w:val="00AD7761"/>
    <w:rsid w:val="00AE001B"/>
    <w:rsid w:val="00AE0805"/>
    <w:rsid w:val="00AE1319"/>
    <w:rsid w:val="00AE3592"/>
    <w:rsid w:val="00AE39FA"/>
    <w:rsid w:val="00AE3B6B"/>
    <w:rsid w:val="00AE4735"/>
    <w:rsid w:val="00AF214A"/>
    <w:rsid w:val="00AF4943"/>
    <w:rsid w:val="00AF4F14"/>
    <w:rsid w:val="00AF53E4"/>
    <w:rsid w:val="00B00EBD"/>
    <w:rsid w:val="00B03978"/>
    <w:rsid w:val="00B06C9F"/>
    <w:rsid w:val="00B12659"/>
    <w:rsid w:val="00B12686"/>
    <w:rsid w:val="00B12818"/>
    <w:rsid w:val="00B130B8"/>
    <w:rsid w:val="00B13415"/>
    <w:rsid w:val="00B13555"/>
    <w:rsid w:val="00B13C0D"/>
    <w:rsid w:val="00B14AA1"/>
    <w:rsid w:val="00B158F1"/>
    <w:rsid w:val="00B15B7A"/>
    <w:rsid w:val="00B16923"/>
    <w:rsid w:val="00B207E0"/>
    <w:rsid w:val="00B235CB"/>
    <w:rsid w:val="00B2368F"/>
    <w:rsid w:val="00B2423D"/>
    <w:rsid w:val="00B254D5"/>
    <w:rsid w:val="00B25D4B"/>
    <w:rsid w:val="00B263AB"/>
    <w:rsid w:val="00B26B10"/>
    <w:rsid w:val="00B273F5"/>
    <w:rsid w:val="00B335A3"/>
    <w:rsid w:val="00B356EB"/>
    <w:rsid w:val="00B36530"/>
    <w:rsid w:val="00B36753"/>
    <w:rsid w:val="00B372D6"/>
    <w:rsid w:val="00B375B5"/>
    <w:rsid w:val="00B37B0C"/>
    <w:rsid w:val="00B40C51"/>
    <w:rsid w:val="00B4122A"/>
    <w:rsid w:val="00B41564"/>
    <w:rsid w:val="00B41695"/>
    <w:rsid w:val="00B42126"/>
    <w:rsid w:val="00B421BE"/>
    <w:rsid w:val="00B43F5B"/>
    <w:rsid w:val="00B44448"/>
    <w:rsid w:val="00B50055"/>
    <w:rsid w:val="00B5015D"/>
    <w:rsid w:val="00B50A03"/>
    <w:rsid w:val="00B50FD3"/>
    <w:rsid w:val="00B52167"/>
    <w:rsid w:val="00B535F0"/>
    <w:rsid w:val="00B545DB"/>
    <w:rsid w:val="00B54B53"/>
    <w:rsid w:val="00B552F5"/>
    <w:rsid w:val="00B5559D"/>
    <w:rsid w:val="00B55F24"/>
    <w:rsid w:val="00B5694D"/>
    <w:rsid w:val="00B57C3A"/>
    <w:rsid w:val="00B607BD"/>
    <w:rsid w:val="00B611C9"/>
    <w:rsid w:val="00B614A1"/>
    <w:rsid w:val="00B617FF"/>
    <w:rsid w:val="00B6264C"/>
    <w:rsid w:val="00B62769"/>
    <w:rsid w:val="00B63214"/>
    <w:rsid w:val="00B646EA"/>
    <w:rsid w:val="00B65170"/>
    <w:rsid w:val="00B65DB7"/>
    <w:rsid w:val="00B66F4F"/>
    <w:rsid w:val="00B66FF4"/>
    <w:rsid w:val="00B679CA"/>
    <w:rsid w:val="00B7169D"/>
    <w:rsid w:val="00B72878"/>
    <w:rsid w:val="00B7296F"/>
    <w:rsid w:val="00B73E8D"/>
    <w:rsid w:val="00B75292"/>
    <w:rsid w:val="00B7727B"/>
    <w:rsid w:val="00B80FB6"/>
    <w:rsid w:val="00B825CF"/>
    <w:rsid w:val="00B842ED"/>
    <w:rsid w:val="00B844FB"/>
    <w:rsid w:val="00B84B2A"/>
    <w:rsid w:val="00B8532A"/>
    <w:rsid w:val="00B864C5"/>
    <w:rsid w:val="00B87867"/>
    <w:rsid w:val="00B87CB0"/>
    <w:rsid w:val="00B93983"/>
    <w:rsid w:val="00B9542E"/>
    <w:rsid w:val="00B956EA"/>
    <w:rsid w:val="00B95AD5"/>
    <w:rsid w:val="00BA05E3"/>
    <w:rsid w:val="00BA0730"/>
    <w:rsid w:val="00BA0C83"/>
    <w:rsid w:val="00BA0C9F"/>
    <w:rsid w:val="00BA18D3"/>
    <w:rsid w:val="00BA20CA"/>
    <w:rsid w:val="00BA2DB6"/>
    <w:rsid w:val="00BA2FF3"/>
    <w:rsid w:val="00BA447D"/>
    <w:rsid w:val="00BA4B31"/>
    <w:rsid w:val="00BA6640"/>
    <w:rsid w:val="00BA6879"/>
    <w:rsid w:val="00BA6C93"/>
    <w:rsid w:val="00BA7557"/>
    <w:rsid w:val="00BA76B5"/>
    <w:rsid w:val="00BB032A"/>
    <w:rsid w:val="00BB037E"/>
    <w:rsid w:val="00BB0533"/>
    <w:rsid w:val="00BB1432"/>
    <w:rsid w:val="00BB1890"/>
    <w:rsid w:val="00BB2A0D"/>
    <w:rsid w:val="00BB39C4"/>
    <w:rsid w:val="00BB4359"/>
    <w:rsid w:val="00BB5405"/>
    <w:rsid w:val="00BB619F"/>
    <w:rsid w:val="00BB69FC"/>
    <w:rsid w:val="00BB6FD0"/>
    <w:rsid w:val="00BB77E0"/>
    <w:rsid w:val="00BC22C5"/>
    <w:rsid w:val="00BC2EA8"/>
    <w:rsid w:val="00BC498F"/>
    <w:rsid w:val="00BC5910"/>
    <w:rsid w:val="00BC777B"/>
    <w:rsid w:val="00BD01C4"/>
    <w:rsid w:val="00BD1003"/>
    <w:rsid w:val="00BD1C4A"/>
    <w:rsid w:val="00BD1E29"/>
    <w:rsid w:val="00BD3BDF"/>
    <w:rsid w:val="00BD4226"/>
    <w:rsid w:val="00BD4804"/>
    <w:rsid w:val="00BD58EA"/>
    <w:rsid w:val="00BD5B1C"/>
    <w:rsid w:val="00BD65D0"/>
    <w:rsid w:val="00BD79BF"/>
    <w:rsid w:val="00BE004A"/>
    <w:rsid w:val="00BE08CB"/>
    <w:rsid w:val="00BE14BF"/>
    <w:rsid w:val="00BE17C9"/>
    <w:rsid w:val="00BE2CBD"/>
    <w:rsid w:val="00BE3D25"/>
    <w:rsid w:val="00BE5646"/>
    <w:rsid w:val="00BE5E02"/>
    <w:rsid w:val="00BE5F3B"/>
    <w:rsid w:val="00BE7193"/>
    <w:rsid w:val="00BE7B24"/>
    <w:rsid w:val="00BF2CBB"/>
    <w:rsid w:val="00BF4E50"/>
    <w:rsid w:val="00BF508D"/>
    <w:rsid w:val="00BF5E24"/>
    <w:rsid w:val="00BF7C26"/>
    <w:rsid w:val="00C006FA"/>
    <w:rsid w:val="00C01E7F"/>
    <w:rsid w:val="00C0288D"/>
    <w:rsid w:val="00C029B9"/>
    <w:rsid w:val="00C030C4"/>
    <w:rsid w:val="00C0331C"/>
    <w:rsid w:val="00C04045"/>
    <w:rsid w:val="00C04A32"/>
    <w:rsid w:val="00C04EE3"/>
    <w:rsid w:val="00C05013"/>
    <w:rsid w:val="00C0558A"/>
    <w:rsid w:val="00C057C4"/>
    <w:rsid w:val="00C05B1E"/>
    <w:rsid w:val="00C05C98"/>
    <w:rsid w:val="00C064FD"/>
    <w:rsid w:val="00C065BE"/>
    <w:rsid w:val="00C078E7"/>
    <w:rsid w:val="00C105EE"/>
    <w:rsid w:val="00C10A50"/>
    <w:rsid w:val="00C11374"/>
    <w:rsid w:val="00C11598"/>
    <w:rsid w:val="00C1214C"/>
    <w:rsid w:val="00C129ED"/>
    <w:rsid w:val="00C136A1"/>
    <w:rsid w:val="00C14E77"/>
    <w:rsid w:val="00C15A5E"/>
    <w:rsid w:val="00C16CED"/>
    <w:rsid w:val="00C1773B"/>
    <w:rsid w:val="00C2069A"/>
    <w:rsid w:val="00C2200F"/>
    <w:rsid w:val="00C223E5"/>
    <w:rsid w:val="00C23365"/>
    <w:rsid w:val="00C237C8"/>
    <w:rsid w:val="00C242A0"/>
    <w:rsid w:val="00C2791D"/>
    <w:rsid w:val="00C312BF"/>
    <w:rsid w:val="00C3272B"/>
    <w:rsid w:val="00C33903"/>
    <w:rsid w:val="00C33D77"/>
    <w:rsid w:val="00C33D9B"/>
    <w:rsid w:val="00C34CB2"/>
    <w:rsid w:val="00C34D8C"/>
    <w:rsid w:val="00C37A2F"/>
    <w:rsid w:val="00C42412"/>
    <w:rsid w:val="00C44750"/>
    <w:rsid w:val="00C46A4E"/>
    <w:rsid w:val="00C47050"/>
    <w:rsid w:val="00C47AD9"/>
    <w:rsid w:val="00C502E5"/>
    <w:rsid w:val="00C51ECC"/>
    <w:rsid w:val="00C52CEB"/>
    <w:rsid w:val="00C5356C"/>
    <w:rsid w:val="00C539F3"/>
    <w:rsid w:val="00C53F51"/>
    <w:rsid w:val="00C544D0"/>
    <w:rsid w:val="00C54B9B"/>
    <w:rsid w:val="00C55907"/>
    <w:rsid w:val="00C56333"/>
    <w:rsid w:val="00C566BC"/>
    <w:rsid w:val="00C60AC7"/>
    <w:rsid w:val="00C616D2"/>
    <w:rsid w:val="00C61BC2"/>
    <w:rsid w:val="00C61CFD"/>
    <w:rsid w:val="00C61D9C"/>
    <w:rsid w:val="00C6244B"/>
    <w:rsid w:val="00C65102"/>
    <w:rsid w:val="00C65AFB"/>
    <w:rsid w:val="00C677D8"/>
    <w:rsid w:val="00C67A75"/>
    <w:rsid w:val="00C717C9"/>
    <w:rsid w:val="00C7182C"/>
    <w:rsid w:val="00C722FB"/>
    <w:rsid w:val="00C72717"/>
    <w:rsid w:val="00C757B6"/>
    <w:rsid w:val="00C75D1A"/>
    <w:rsid w:val="00C75E49"/>
    <w:rsid w:val="00C767E6"/>
    <w:rsid w:val="00C77438"/>
    <w:rsid w:val="00C80A98"/>
    <w:rsid w:val="00C80DF5"/>
    <w:rsid w:val="00C81102"/>
    <w:rsid w:val="00C81B4F"/>
    <w:rsid w:val="00C82307"/>
    <w:rsid w:val="00C837D0"/>
    <w:rsid w:val="00C843E4"/>
    <w:rsid w:val="00C84E03"/>
    <w:rsid w:val="00C84EA3"/>
    <w:rsid w:val="00C85058"/>
    <w:rsid w:val="00C87907"/>
    <w:rsid w:val="00C87985"/>
    <w:rsid w:val="00C87BB7"/>
    <w:rsid w:val="00C9021A"/>
    <w:rsid w:val="00C90453"/>
    <w:rsid w:val="00C90A9E"/>
    <w:rsid w:val="00C9160C"/>
    <w:rsid w:val="00C91B02"/>
    <w:rsid w:val="00C9364B"/>
    <w:rsid w:val="00C946B6"/>
    <w:rsid w:val="00C95B5C"/>
    <w:rsid w:val="00C966EC"/>
    <w:rsid w:val="00C96881"/>
    <w:rsid w:val="00C96F9E"/>
    <w:rsid w:val="00C97F3E"/>
    <w:rsid w:val="00CA01A7"/>
    <w:rsid w:val="00CA1B12"/>
    <w:rsid w:val="00CA2CB6"/>
    <w:rsid w:val="00CA46B9"/>
    <w:rsid w:val="00CA4982"/>
    <w:rsid w:val="00CA56AE"/>
    <w:rsid w:val="00CA5BDE"/>
    <w:rsid w:val="00CA7438"/>
    <w:rsid w:val="00CB0808"/>
    <w:rsid w:val="00CB0B47"/>
    <w:rsid w:val="00CB0D94"/>
    <w:rsid w:val="00CB1DE7"/>
    <w:rsid w:val="00CB2930"/>
    <w:rsid w:val="00CB29CD"/>
    <w:rsid w:val="00CB30E4"/>
    <w:rsid w:val="00CB3A9F"/>
    <w:rsid w:val="00CB48AD"/>
    <w:rsid w:val="00CB4960"/>
    <w:rsid w:val="00CB4A17"/>
    <w:rsid w:val="00CB5062"/>
    <w:rsid w:val="00CB544B"/>
    <w:rsid w:val="00CB5485"/>
    <w:rsid w:val="00CB54A3"/>
    <w:rsid w:val="00CC10DD"/>
    <w:rsid w:val="00CC2F5F"/>
    <w:rsid w:val="00CC4310"/>
    <w:rsid w:val="00CD05FC"/>
    <w:rsid w:val="00CD08C8"/>
    <w:rsid w:val="00CD1112"/>
    <w:rsid w:val="00CD13A6"/>
    <w:rsid w:val="00CD3B53"/>
    <w:rsid w:val="00CD52B2"/>
    <w:rsid w:val="00CD53F0"/>
    <w:rsid w:val="00CD6EA7"/>
    <w:rsid w:val="00CE08DB"/>
    <w:rsid w:val="00CE12EB"/>
    <w:rsid w:val="00CE21F3"/>
    <w:rsid w:val="00CE25BB"/>
    <w:rsid w:val="00CE2852"/>
    <w:rsid w:val="00CE359E"/>
    <w:rsid w:val="00CE3698"/>
    <w:rsid w:val="00CE449B"/>
    <w:rsid w:val="00CE44A0"/>
    <w:rsid w:val="00CE4BC3"/>
    <w:rsid w:val="00CE4C1B"/>
    <w:rsid w:val="00CE4F49"/>
    <w:rsid w:val="00CE5ADB"/>
    <w:rsid w:val="00CE5BD7"/>
    <w:rsid w:val="00CE751C"/>
    <w:rsid w:val="00CF2192"/>
    <w:rsid w:val="00CF2EB4"/>
    <w:rsid w:val="00CF435E"/>
    <w:rsid w:val="00CF46A3"/>
    <w:rsid w:val="00CF4E19"/>
    <w:rsid w:val="00CF5509"/>
    <w:rsid w:val="00CF6D9B"/>
    <w:rsid w:val="00CF76D7"/>
    <w:rsid w:val="00D011C8"/>
    <w:rsid w:val="00D0166A"/>
    <w:rsid w:val="00D02F71"/>
    <w:rsid w:val="00D039CE"/>
    <w:rsid w:val="00D055CC"/>
    <w:rsid w:val="00D06A9A"/>
    <w:rsid w:val="00D06AA7"/>
    <w:rsid w:val="00D06D96"/>
    <w:rsid w:val="00D12558"/>
    <w:rsid w:val="00D12CDC"/>
    <w:rsid w:val="00D134A7"/>
    <w:rsid w:val="00D14A1A"/>
    <w:rsid w:val="00D15D87"/>
    <w:rsid w:val="00D16188"/>
    <w:rsid w:val="00D1643B"/>
    <w:rsid w:val="00D167B3"/>
    <w:rsid w:val="00D16D4C"/>
    <w:rsid w:val="00D22BC7"/>
    <w:rsid w:val="00D23435"/>
    <w:rsid w:val="00D2506B"/>
    <w:rsid w:val="00D25557"/>
    <w:rsid w:val="00D25943"/>
    <w:rsid w:val="00D3129C"/>
    <w:rsid w:val="00D3251D"/>
    <w:rsid w:val="00D339E3"/>
    <w:rsid w:val="00D35DAD"/>
    <w:rsid w:val="00D3608E"/>
    <w:rsid w:val="00D373B4"/>
    <w:rsid w:val="00D373D0"/>
    <w:rsid w:val="00D375BA"/>
    <w:rsid w:val="00D40C51"/>
    <w:rsid w:val="00D422DA"/>
    <w:rsid w:val="00D43181"/>
    <w:rsid w:val="00D43855"/>
    <w:rsid w:val="00D43F47"/>
    <w:rsid w:val="00D44783"/>
    <w:rsid w:val="00D45F7B"/>
    <w:rsid w:val="00D45FAD"/>
    <w:rsid w:val="00D47790"/>
    <w:rsid w:val="00D47F44"/>
    <w:rsid w:val="00D50CDA"/>
    <w:rsid w:val="00D50D49"/>
    <w:rsid w:val="00D52255"/>
    <w:rsid w:val="00D53F2D"/>
    <w:rsid w:val="00D53F68"/>
    <w:rsid w:val="00D54A30"/>
    <w:rsid w:val="00D558FA"/>
    <w:rsid w:val="00D57FE7"/>
    <w:rsid w:val="00D6018D"/>
    <w:rsid w:val="00D60FF9"/>
    <w:rsid w:val="00D6153E"/>
    <w:rsid w:val="00D61D04"/>
    <w:rsid w:val="00D62286"/>
    <w:rsid w:val="00D63C2B"/>
    <w:rsid w:val="00D63C53"/>
    <w:rsid w:val="00D64F9E"/>
    <w:rsid w:val="00D66032"/>
    <w:rsid w:val="00D66D87"/>
    <w:rsid w:val="00D66F2C"/>
    <w:rsid w:val="00D7035F"/>
    <w:rsid w:val="00D730DD"/>
    <w:rsid w:val="00D73CFD"/>
    <w:rsid w:val="00D7436D"/>
    <w:rsid w:val="00D748BD"/>
    <w:rsid w:val="00D755AF"/>
    <w:rsid w:val="00D77818"/>
    <w:rsid w:val="00D80C39"/>
    <w:rsid w:val="00D81A12"/>
    <w:rsid w:val="00D82672"/>
    <w:rsid w:val="00D86F07"/>
    <w:rsid w:val="00D87173"/>
    <w:rsid w:val="00D912DB"/>
    <w:rsid w:val="00D91FCF"/>
    <w:rsid w:val="00D9361E"/>
    <w:rsid w:val="00D94174"/>
    <w:rsid w:val="00D943E2"/>
    <w:rsid w:val="00D96D36"/>
    <w:rsid w:val="00D97D28"/>
    <w:rsid w:val="00DA08C7"/>
    <w:rsid w:val="00DA1039"/>
    <w:rsid w:val="00DA1075"/>
    <w:rsid w:val="00DA1ECE"/>
    <w:rsid w:val="00DA2765"/>
    <w:rsid w:val="00DA405B"/>
    <w:rsid w:val="00DA408C"/>
    <w:rsid w:val="00DA4ED6"/>
    <w:rsid w:val="00DA5294"/>
    <w:rsid w:val="00DA61CB"/>
    <w:rsid w:val="00DA67C0"/>
    <w:rsid w:val="00DB0D12"/>
    <w:rsid w:val="00DB0ED3"/>
    <w:rsid w:val="00DB1A31"/>
    <w:rsid w:val="00DB2238"/>
    <w:rsid w:val="00DB4FC5"/>
    <w:rsid w:val="00DB54FC"/>
    <w:rsid w:val="00DB6226"/>
    <w:rsid w:val="00DB6AD7"/>
    <w:rsid w:val="00DB6E10"/>
    <w:rsid w:val="00DB7FAA"/>
    <w:rsid w:val="00DC04C0"/>
    <w:rsid w:val="00DC0B1E"/>
    <w:rsid w:val="00DC0C80"/>
    <w:rsid w:val="00DC0D2A"/>
    <w:rsid w:val="00DC239E"/>
    <w:rsid w:val="00DC3DFC"/>
    <w:rsid w:val="00DC4A7A"/>
    <w:rsid w:val="00DC53B1"/>
    <w:rsid w:val="00DC62A3"/>
    <w:rsid w:val="00DC650A"/>
    <w:rsid w:val="00DC6B9E"/>
    <w:rsid w:val="00DC6BAF"/>
    <w:rsid w:val="00DC7896"/>
    <w:rsid w:val="00DC7BF7"/>
    <w:rsid w:val="00DC7EC9"/>
    <w:rsid w:val="00DD24F2"/>
    <w:rsid w:val="00DD27F4"/>
    <w:rsid w:val="00DD3CE8"/>
    <w:rsid w:val="00DD4FAD"/>
    <w:rsid w:val="00DD5195"/>
    <w:rsid w:val="00DD72A9"/>
    <w:rsid w:val="00DD7EC3"/>
    <w:rsid w:val="00DE029E"/>
    <w:rsid w:val="00DE03BF"/>
    <w:rsid w:val="00DE044A"/>
    <w:rsid w:val="00DE1295"/>
    <w:rsid w:val="00DE1FA4"/>
    <w:rsid w:val="00DE257D"/>
    <w:rsid w:val="00DE4C2A"/>
    <w:rsid w:val="00DE5F7B"/>
    <w:rsid w:val="00DE6F82"/>
    <w:rsid w:val="00DE7C21"/>
    <w:rsid w:val="00DF17FE"/>
    <w:rsid w:val="00DF18FA"/>
    <w:rsid w:val="00DF1A0C"/>
    <w:rsid w:val="00DF215B"/>
    <w:rsid w:val="00DF2C42"/>
    <w:rsid w:val="00DF4CC7"/>
    <w:rsid w:val="00DF5144"/>
    <w:rsid w:val="00DF5442"/>
    <w:rsid w:val="00DF54AC"/>
    <w:rsid w:val="00DF6248"/>
    <w:rsid w:val="00DF6E0E"/>
    <w:rsid w:val="00E023E3"/>
    <w:rsid w:val="00E0453E"/>
    <w:rsid w:val="00E06988"/>
    <w:rsid w:val="00E10F65"/>
    <w:rsid w:val="00E111FC"/>
    <w:rsid w:val="00E116A1"/>
    <w:rsid w:val="00E1236A"/>
    <w:rsid w:val="00E1286E"/>
    <w:rsid w:val="00E13515"/>
    <w:rsid w:val="00E1376D"/>
    <w:rsid w:val="00E1386A"/>
    <w:rsid w:val="00E1426A"/>
    <w:rsid w:val="00E14C4B"/>
    <w:rsid w:val="00E168CE"/>
    <w:rsid w:val="00E177B8"/>
    <w:rsid w:val="00E17FB6"/>
    <w:rsid w:val="00E20D06"/>
    <w:rsid w:val="00E213DB"/>
    <w:rsid w:val="00E234B5"/>
    <w:rsid w:val="00E248ED"/>
    <w:rsid w:val="00E24ED7"/>
    <w:rsid w:val="00E27C37"/>
    <w:rsid w:val="00E30122"/>
    <w:rsid w:val="00E3013B"/>
    <w:rsid w:val="00E305CA"/>
    <w:rsid w:val="00E30DA9"/>
    <w:rsid w:val="00E32404"/>
    <w:rsid w:val="00E33222"/>
    <w:rsid w:val="00E33829"/>
    <w:rsid w:val="00E34C2A"/>
    <w:rsid w:val="00E35F0F"/>
    <w:rsid w:val="00E36391"/>
    <w:rsid w:val="00E363B2"/>
    <w:rsid w:val="00E36B58"/>
    <w:rsid w:val="00E37E52"/>
    <w:rsid w:val="00E40C2E"/>
    <w:rsid w:val="00E421B3"/>
    <w:rsid w:val="00E429D7"/>
    <w:rsid w:val="00E42D7A"/>
    <w:rsid w:val="00E43252"/>
    <w:rsid w:val="00E434E2"/>
    <w:rsid w:val="00E43561"/>
    <w:rsid w:val="00E436AF"/>
    <w:rsid w:val="00E43D5F"/>
    <w:rsid w:val="00E43E3E"/>
    <w:rsid w:val="00E4487D"/>
    <w:rsid w:val="00E44EC7"/>
    <w:rsid w:val="00E451BD"/>
    <w:rsid w:val="00E456D1"/>
    <w:rsid w:val="00E45F30"/>
    <w:rsid w:val="00E460E7"/>
    <w:rsid w:val="00E470C2"/>
    <w:rsid w:val="00E50873"/>
    <w:rsid w:val="00E51F7D"/>
    <w:rsid w:val="00E52779"/>
    <w:rsid w:val="00E52DD2"/>
    <w:rsid w:val="00E52E5E"/>
    <w:rsid w:val="00E53C37"/>
    <w:rsid w:val="00E53F35"/>
    <w:rsid w:val="00E54140"/>
    <w:rsid w:val="00E545F0"/>
    <w:rsid w:val="00E611B0"/>
    <w:rsid w:val="00E6147C"/>
    <w:rsid w:val="00E64688"/>
    <w:rsid w:val="00E656ED"/>
    <w:rsid w:val="00E65EE9"/>
    <w:rsid w:val="00E6703A"/>
    <w:rsid w:val="00E673A7"/>
    <w:rsid w:val="00E675BF"/>
    <w:rsid w:val="00E677AD"/>
    <w:rsid w:val="00E67E40"/>
    <w:rsid w:val="00E67E7C"/>
    <w:rsid w:val="00E71375"/>
    <w:rsid w:val="00E7319A"/>
    <w:rsid w:val="00E73337"/>
    <w:rsid w:val="00E758FA"/>
    <w:rsid w:val="00E75D09"/>
    <w:rsid w:val="00E80B85"/>
    <w:rsid w:val="00E81BF3"/>
    <w:rsid w:val="00E829EF"/>
    <w:rsid w:val="00E8327A"/>
    <w:rsid w:val="00E845C9"/>
    <w:rsid w:val="00E864E0"/>
    <w:rsid w:val="00E86D9F"/>
    <w:rsid w:val="00E87CFC"/>
    <w:rsid w:val="00E91D87"/>
    <w:rsid w:val="00E91D9B"/>
    <w:rsid w:val="00E92C37"/>
    <w:rsid w:val="00E93CC1"/>
    <w:rsid w:val="00E946B0"/>
    <w:rsid w:val="00E9515E"/>
    <w:rsid w:val="00EA03E8"/>
    <w:rsid w:val="00EA24AA"/>
    <w:rsid w:val="00EA2886"/>
    <w:rsid w:val="00EA2B98"/>
    <w:rsid w:val="00EA57AE"/>
    <w:rsid w:val="00EA5A9E"/>
    <w:rsid w:val="00EA5DB3"/>
    <w:rsid w:val="00EA62E4"/>
    <w:rsid w:val="00EA64DF"/>
    <w:rsid w:val="00EA6BD8"/>
    <w:rsid w:val="00EA6C2A"/>
    <w:rsid w:val="00EA6CFE"/>
    <w:rsid w:val="00EA7663"/>
    <w:rsid w:val="00EB05AA"/>
    <w:rsid w:val="00EB158A"/>
    <w:rsid w:val="00EB200A"/>
    <w:rsid w:val="00EB2265"/>
    <w:rsid w:val="00EB297C"/>
    <w:rsid w:val="00EB4998"/>
    <w:rsid w:val="00EB4A6F"/>
    <w:rsid w:val="00EB7DD3"/>
    <w:rsid w:val="00EC0ED0"/>
    <w:rsid w:val="00EC1101"/>
    <w:rsid w:val="00EC1AB6"/>
    <w:rsid w:val="00EC2BC2"/>
    <w:rsid w:val="00EC34AC"/>
    <w:rsid w:val="00EC3A59"/>
    <w:rsid w:val="00EC45BF"/>
    <w:rsid w:val="00EC4870"/>
    <w:rsid w:val="00EC4E99"/>
    <w:rsid w:val="00EC53D1"/>
    <w:rsid w:val="00EC6195"/>
    <w:rsid w:val="00EC652F"/>
    <w:rsid w:val="00EC695B"/>
    <w:rsid w:val="00EC74A3"/>
    <w:rsid w:val="00ED069E"/>
    <w:rsid w:val="00ED0850"/>
    <w:rsid w:val="00ED0B63"/>
    <w:rsid w:val="00ED1663"/>
    <w:rsid w:val="00ED1BD7"/>
    <w:rsid w:val="00ED23E8"/>
    <w:rsid w:val="00ED2DA8"/>
    <w:rsid w:val="00ED3206"/>
    <w:rsid w:val="00ED5552"/>
    <w:rsid w:val="00ED6417"/>
    <w:rsid w:val="00ED6B63"/>
    <w:rsid w:val="00ED6EE7"/>
    <w:rsid w:val="00ED7D1A"/>
    <w:rsid w:val="00EE0396"/>
    <w:rsid w:val="00EE12F5"/>
    <w:rsid w:val="00EE1B1B"/>
    <w:rsid w:val="00EE1CAC"/>
    <w:rsid w:val="00EE2799"/>
    <w:rsid w:val="00EE2BE4"/>
    <w:rsid w:val="00EE359A"/>
    <w:rsid w:val="00EE5035"/>
    <w:rsid w:val="00EE6726"/>
    <w:rsid w:val="00EE7CE0"/>
    <w:rsid w:val="00EF0795"/>
    <w:rsid w:val="00EF13B9"/>
    <w:rsid w:val="00EF1984"/>
    <w:rsid w:val="00EF29C7"/>
    <w:rsid w:val="00EF3CBE"/>
    <w:rsid w:val="00EF3E41"/>
    <w:rsid w:val="00EF47A7"/>
    <w:rsid w:val="00EF4C94"/>
    <w:rsid w:val="00EF5FD1"/>
    <w:rsid w:val="00EF6B1E"/>
    <w:rsid w:val="00EF6CC7"/>
    <w:rsid w:val="00EF6CF9"/>
    <w:rsid w:val="00EF7950"/>
    <w:rsid w:val="00F0050C"/>
    <w:rsid w:val="00F0102C"/>
    <w:rsid w:val="00F01430"/>
    <w:rsid w:val="00F014FD"/>
    <w:rsid w:val="00F01EE1"/>
    <w:rsid w:val="00F022A4"/>
    <w:rsid w:val="00F0378C"/>
    <w:rsid w:val="00F04576"/>
    <w:rsid w:val="00F048FD"/>
    <w:rsid w:val="00F04CAC"/>
    <w:rsid w:val="00F04E9F"/>
    <w:rsid w:val="00F06529"/>
    <w:rsid w:val="00F07BA4"/>
    <w:rsid w:val="00F109D3"/>
    <w:rsid w:val="00F12402"/>
    <w:rsid w:val="00F134E4"/>
    <w:rsid w:val="00F13520"/>
    <w:rsid w:val="00F139F9"/>
    <w:rsid w:val="00F13BD4"/>
    <w:rsid w:val="00F14C2E"/>
    <w:rsid w:val="00F16B89"/>
    <w:rsid w:val="00F17B1C"/>
    <w:rsid w:val="00F203A5"/>
    <w:rsid w:val="00F20706"/>
    <w:rsid w:val="00F20999"/>
    <w:rsid w:val="00F209AD"/>
    <w:rsid w:val="00F21960"/>
    <w:rsid w:val="00F22130"/>
    <w:rsid w:val="00F230B8"/>
    <w:rsid w:val="00F25805"/>
    <w:rsid w:val="00F266F1"/>
    <w:rsid w:val="00F26758"/>
    <w:rsid w:val="00F2683C"/>
    <w:rsid w:val="00F27522"/>
    <w:rsid w:val="00F30A48"/>
    <w:rsid w:val="00F30A8C"/>
    <w:rsid w:val="00F34DAA"/>
    <w:rsid w:val="00F36638"/>
    <w:rsid w:val="00F369F2"/>
    <w:rsid w:val="00F36EF2"/>
    <w:rsid w:val="00F37E2B"/>
    <w:rsid w:val="00F40CAF"/>
    <w:rsid w:val="00F40D71"/>
    <w:rsid w:val="00F41501"/>
    <w:rsid w:val="00F41ACD"/>
    <w:rsid w:val="00F4377E"/>
    <w:rsid w:val="00F43877"/>
    <w:rsid w:val="00F455D5"/>
    <w:rsid w:val="00F4617F"/>
    <w:rsid w:val="00F47E22"/>
    <w:rsid w:val="00F50282"/>
    <w:rsid w:val="00F50355"/>
    <w:rsid w:val="00F5323D"/>
    <w:rsid w:val="00F5476F"/>
    <w:rsid w:val="00F5508E"/>
    <w:rsid w:val="00F55956"/>
    <w:rsid w:val="00F55C8D"/>
    <w:rsid w:val="00F56C3D"/>
    <w:rsid w:val="00F57D39"/>
    <w:rsid w:val="00F61A8F"/>
    <w:rsid w:val="00F6351A"/>
    <w:rsid w:val="00F638BE"/>
    <w:rsid w:val="00F63A9B"/>
    <w:rsid w:val="00F6435E"/>
    <w:rsid w:val="00F64FD6"/>
    <w:rsid w:val="00F65EC5"/>
    <w:rsid w:val="00F66096"/>
    <w:rsid w:val="00F6645E"/>
    <w:rsid w:val="00F66EB8"/>
    <w:rsid w:val="00F7115F"/>
    <w:rsid w:val="00F71F9D"/>
    <w:rsid w:val="00F7310F"/>
    <w:rsid w:val="00F73DE6"/>
    <w:rsid w:val="00F77649"/>
    <w:rsid w:val="00F805F1"/>
    <w:rsid w:val="00F823F2"/>
    <w:rsid w:val="00F83863"/>
    <w:rsid w:val="00F846EF"/>
    <w:rsid w:val="00F854B1"/>
    <w:rsid w:val="00F864CC"/>
    <w:rsid w:val="00F86F2B"/>
    <w:rsid w:val="00F878AD"/>
    <w:rsid w:val="00F87A8C"/>
    <w:rsid w:val="00F90A4B"/>
    <w:rsid w:val="00F91B70"/>
    <w:rsid w:val="00F92587"/>
    <w:rsid w:val="00F9341F"/>
    <w:rsid w:val="00F94669"/>
    <w:rsid w:val="00F94F1E"/>
    <w:rsid w:val="00F9535A"/>
    <w:rsid w:val="00F95CFC"/>
    <w:rsid w:val="00F96306"/>
    <w:rsid w:val="00F964B2"/>
    <w:rsid w:val="00F96928"/>
    <w:rsid w:val="00F969B7"/>
    <w:rsid w:val="00FA149B"/>
    <w:rsid w:val="00FA1E6F"/>
    <w:rsid w:val="00FA3BEA"/>
    <w:rsid w:val="00FA3F5C"/>
    <w:rsid w:val="00FA4BD3"/>
    <w:rsid w:val="00FA52E5"/>
    <w:rsid w:val="00FA5F65"/>
    <w:rsid w:val="00FA719E"/>
    <w:rsid w:val="00FA71E2"/>
    <w:rsid w:val="00FA779E"/>
    <w:rsid w:val="00FB0B20"/>
    <w:rsid w:val="00FB1D78"/>
    <w:rsid w:val="00FB2029"/>
    <w:rsid w:val="00FB27FD"/>
    <w:rsid w:val="00FB4B1F"/>
    <w:rsid w:val="00FB4EA5"/>
    <w:rsid w:val="00FB5674"/>
    <w:rsid w:val="00FB60C9"/>
    <w:rsid w:val="00FB6D89"/>
    <w:rsid w:val="00FC07B6"/>
    <w:rsid w:val="00FC0C0D"/>
    <w:rsid w:val="00FC2D9B"/>
    <w:rsid w:val="00FC46CB"/>
    <w:rsid w:val="00FC5958"/>
    <w:rsid w:val="00FC6481"/>
    <w:rsid w:val="00FC6DB3"/>
    <w:rsid w:val="00FC7259"/>
    <w:rsid w:val="00FC7606"/>
    <w:rsid w:val="00FC7611"/>
    <w:rsid w:val="00FC76FB"/>
    <w:rsid w:val="00FC7CFB"/>
    <w:rsid w:val="00FD0546"/>
    <w:rsid w:val="00FD0FBC"/>
    <w:rsid w:val="00FD1424"/>
    <w:rsid w:val="00FD2CDC"/>
    <w:rsid w:val="00FD315B"/>
    <w:rsid w:val="00FD34E9"/>
    <w:rsid w:val="00FD4B5D"/>
    <w:rsid w:val="00FD4EE8"/>
    <w:rsid w:val="00FD51E6"/>
    <w:rsid w:val="00FD5A95"/>
    <w:rsid w:val="00FD6270"/>
    <w:rsid w:val="00FD641F"/>
    <w:rsid w:val="00FD6D5A"/>
    <w:rsid w:val="00FD7308"/>
    <w:rsid w:val="00FE071D"/>
    <w:rsid w:val="00FE369C"/>
    <w:rsid w:val="00FE6D08"/>
    <w:rsid w:val="00FE72CA"/>
    <w:rsid w:val="00FE7D79"/>
    <w:rsid w:val="00FF1A73"/>
    <w:rsid w:val="00FF224B"/>
    <w:rsid w:val="00FF2860"/>
    <w:rsid w:val="00FF2C47"/>
    <w:rsid w:val="00FF2D73"/>
    <w:rsid w:val="00FF3595"/>
    <w:rsid w:val="00FF3C88"/>
    <w:rsid w:val="00FF3F73"/>
    <w:rsid w:val="00FF418B"/>
    <w:rsid w:val="00FF5226"/>
    <w:rsid w:val="00FF66FC"/>
    <w:rsid w:val="00FF68F3"/>
    <w:rsid w:val="00FF6CB3"/>
    <w:rsid w:val="00FF6D95"/>
    <w:rsid w:val="00FF7FB2"/>
    <w:rsid w:val="015F6B59"/>
    <w:rsid w:val="016207FA"/>
    <w:rsid w:val="01693649"/>
    <w:rsid w:val="01975764"/>
    <w:rsid w:val="01B307CF"/>
    <w:rsid w:val="01BF41FF"/>
    <w:rsid w:val="01D5704F"/>
    <w:rsid w:val="01FD670E"/>
    <w:rsid w:val="02074BDE"/>
    <w:rsid w:val="02091E4E"/>
    <w:rsid w:val="020E3014"/>
    <w:rsid w:val="020F3D3A"/>
    <w:rsid w:val="021B15C7"/>
    <w:rsid w:val="0222561C"/>
    <w:rsid w:val="02247ACE"/>
    <w:rsid w:val="02261F1A"/>
    <w:rsid w:val="02344F7B"/>
    <w:rsid w:val="023A069A"/>
    <w:rsid w:val="023E6E53"/>
    <w:rsid w:val="029D4701"/>
    <w:rsid w:val="02A856BF"/>
    <w:rsid w:val="02B46E25"/>
    <w:rsid w:val="02B857D6"/>
    <w:rsid w:val="02E2222A"/>
    <w:rsid w:val="02EF262C"/>
    <w:rsid w:val="02FE64AD"/>
    <w:rsid w:val="03281439"/>
    <w:rsid w:val="03305AA9"/>
    <w:rsid w:val="033A70DB"/>
    <w:rsid w:val="034779CB"/>
    <w:rsid w:val="034E688A"/>
    <w:rsid w:val="036057AB"/>
    <w:rsid w:val="036F229C"/>
    <w:rsid w:val="0399006C"/>
    <w:rsid w:val="03AB754E"/>
    <w:rsid w:val="03BC22CF"/>
    <w:rsid w:val="03CC1304"/>
    <w:rsid w:val="03E4145B"/>
    <w:rsid w:val="04023AFD"/>
    <w:rsid w:val="041403B5"/>
    <w:rsid w:val="041F054D"/>
    <w:rsid w:val="043D0156"/>
    <w:rsid w:val="045222F9"/>
    <w:rsid w:val="04624481"/>
    <w:rsid w:val="047950BF"/>
    <w:rsid w:val="04C10523"/>
    <w:rsid w:val="04C73F02"/>
    <w:rsid w:val="04D9593E"/>
    <w:rsid w:val="04EC21BC"/>
    <w:rsid w:val="04FB3C0D"/>
    <w:rsid w:val="050D6991"/>
    <w:rsid w:val="05204F88"/>
    <w:rsid w:val="05314603"/>
    <w:rsid w:val="0552110D"/>
    <w:rsid w:val="05623F3F"/>
    <w:rsid w:val="057205D9"/>
    <w:rsid w:val="05761DE2"/>
    <w:rsid w:val="05957357"/>
    <w:rsid w:val="05A15275"/>
    <w:rsid w:val="05A848E9"/>
    <w:rsid w:val="05AB7BFA"/>
    <w:rsid w:val="05B14A84"/>
    <w:rsid w:val="05C21C9F"/>
    <w:rsid w:val="05F11E86"/>
    <w:rsid w:val="06022BCF"/>
    <w:rsid w:val="063657E8"/>
    <w:rsid w:val="064B1381"/>
    <w:rsid w:val="066B4329"/>
    <w:rsid w:val="06A5160A"/>
    <w:rsid w:val="06D35402"/>
    <w:rsid w:val="06D401CB"/>
    <w:rsid w:val="070D4672"/>
    <w:rsid w:val="07567146"/>
    <w:rsid w:val="075A189C"/>
    <w:rsid w:val="076D5B4B"/>
    <w:rsid w:val="077E3E41"/>
    <w:rsid w:val="0795630F"/>
    <w:rsid w:val="07B20B26"/>
    <w:rsid w:val="07ED6E58"/>
    <w:rsid w:val="07F50EC8"/>
    <w:rsid w:val="08015B47"/>
    <w:rsid w:val="080859B5"/>
    <w:rsid w:val="080B09B3"/>
    <w:rsid w:val="083E01C5"/>
    <w:rsid w:val="08654092"/>
    <w:rsid w:val="088246E7"/>
    <w:rsid w:val="08902F46"/>
    <w:rsid w:val="08A744D8"/>
    <w:rsid w:val="08B06F0E"/>
    <w:rsid w:val="08B36633"/>
    <w:rsid w:val="08BC201B"/>
    <w:rsid w:val="08C010F1"/>
    <w:rsid w:val="08CC04B5"/>
    <w:rsid w:val="08D44D88"/>
    <w:rsid w:val="08F65097"/>
    <w:rsid w:val="08F9487B"/>
    <w:rsid w:val="08F97914"/>
    <w:rsid w:val="08FF2010"/>
    <w:rsid w:val="09030537"/>
    <w:rsid w:val="09196A31"/>
    <w:rsid w:val="096C1200"/>
    <w:rsid w:val="09A7170B"/>
    <w:rsid w:val="09A84B40"/>
    <w:rsid w:val="09D57147"/>
    <w:rsid w:val="09E5477F"/>
    <w:rsid w:val="09E54CD1"/>
    <w:rsid w:val="09F17EEE"/>
    <w:rsid w:val="0A1C0A6B"/>
    <w:rsid w:val="0A325E5A"/>
    <w:rsid w:val="0A4853F5"/>
    <w:rsid w:val="0A49365E"/>
    <w:rsid w:val="0A680DED"/>
    <w:rsid w:val="0A7D3329"/>
    <w:rsid w:val="0A8E79C2"/>
    <w:rsid w:val="0A9D6AA5"/>
    <w:rsid w:val="0AC43BE1"/>
    <w:rsid w:val="0AD876A7"/>
    <w:rsid w:val="0B097EB6"/>
    <w:rsid w:val="0B0A75A8"/>
    <w:rsid w:val="0B206A6A"/>
    <w:rsid w:val="0B3D3766"/>
    <w:rsid w:val="0B565EFC"/>
    <w:rsid w:val="0B6362D6"/>
    <w:rsid w:val="0B7C2C74"/>
    <w:rsid w:val="0B8F0AA4"/>
    <w:rsid w:val="0B9B1804"/>
    <w:rsid w:val="0BD63533"/>
    <w:rsid w:val="0BF102DB"/>
    <w:rsid w:val="0BF87246"/>
    <w:rsid w:val="0BF92A2F"/>
    <w:rsid w:val="0C1A3195"/>
    <w:rsid w:val="0C6A69ED"/>
    <w:rsid w:val="0C6E5795"/>
    <w:rsid w:val="0C751810"/>
    <w:rsid w:val="0C7B42DA"/>
    <w:rsid w:val="0C8653E4"/>
    <w:rsid w:val="0CC932FE"/>
    <w:rsid w:val="0D1C36B8"/>
    <w:rsid w:val="0D1E25EA"/>
    <w:rsid w:val="0D1E28CD"/>
    <w:rsid w:val="0D485674"/>
    <w:rsid w:val="0D523CD4"/>
    <w:rsid w:val="0D840C8F"/>
    <w:rsid w:val="0D996B6E"/>
    <w:rsid w:val="0DA20309"/>
    <w:rsid w:val="0DC53B6A"/>
    <w:rsid w:val="0DFA391B"/>
    <w:rsid w:val="0DFD2EAE"/>
    <w:rsid w:val="0DFE0C72"/>
    <w:rsid w:val="0E206EA1"/>
    <w:rsid w:val="0E270830"/>
    <w:rsid w:val="0E2D2D25"/>
    <w:rsid w:val="0E35422C"/>
    <w:rsid w:val="0E4B3248"/>
    <w:rsid w:val="0E5401FA"/>
    <w:rsid w:val="0E626A9E"/>
    <w:rsid w:val="0E630E98"/>
    <w:rsid w:val="0E791220"/>
    <w:rsid w:val="0E83747F"/>
    <w:rsid w:val="0E840D88"/>
    <w:rsid w:val="0E8C3550"/>
    <w:rsid w:val="0E90419B"/>
    <w:rsid w:val="0EB32C6A"/>
    <w:rsid w:val="0EBB25AC"/>
    <w:rsid w:val="0F17214C"/>
    <w:rsid w:val="0F271C5B"/>
    <w:rsid w:val="0F4D0AAA"/>
    <w:rsid w:val="0F6E029A"/>
    <w:rsid w:val="0FE87144"/>
    <w:rsid w:val="0FF165F1"/>
    <w:rsid w:val="102665A2"/>
    <w:rsid w:val="105A5F86"/>
    <w:rsid w:val="10681DF0"/>
    <w:rsid w:val="106D6911"/>
    <w:rsid w:val="10A60A94"/>
    <w:rsid w:val="10E26576"/>
    <w:rsid w:val="10FA7D09"/>
    <w:rsid w:val="110A6221"/>
    <w:rsid w:val="11272D3E"/>
    <w:rsid w:val="112F3861"/>
    <w:rsid w:val="113E25F3"/>
    <w:rsid w:val="114A0211"/>
    <w:rsid w:val="114C4A56"/>
    <w:rsid w:val="114D1E06"/>
    <w:rsid w:val="115E4B54"/>
    <w:rsid w:val="11642CCD"/>
    <w:rsid w:val="116D383C"/>
    <w:rsid w:val="11770966"/>
    <w:rsid w:val="11A6263C"/>
    <w:rsid w:val="11A812C6"/>
    <w:rsid w:val="11AD68A3"/>
    <w:rsid w:val="11AE2671"/>
    <w:rsid w:val="11B05A49"/>
    <w:rsid w:val="11B91EE9"/>
    <w:rsid w:val="11C42396"/>
    <w:rsid w:val="120C17CA"/>
    <w:rsid w:val="121259D5"/>
    <w:rsid w:val="12352F0C"/>
    <w:rsid w:val="12694296"/>
    <w:rsid w:val="129201AB"/>
    <w:rsid w:val="12BE3F34"/>
    <w:rsid w:val="12C97CB8"/>
    <w:rsid w:val="12CA3923"/>
    <w:rsid w:val="12DA74DE"/>
    <w:rsid w:val="12EB2FFE"/>
    <w:rsid w:val="12FC3627"/>
    <w:rsid w:val="130E4B56"/>
    <w:rsid w:val="13127EC6"/>
    <w:rsid w:val="13195DB5"/>
    <w:rsid w:val="132062A4"/>
    <w:rsid w:val="133B736B"/>
    <w:rsid w:val="13565255"/>
    <w:rsid w:val="135D7717"/>
    <w:rsid w:val="1380268A"/>
    <w:rsid w:val="13E17235"/>
    <w:rsid w:val="13E4708A"/>
    <w:rsid w:val="13FA01F2"/>
    <w:rsid w:val="13FF4C98"/>
    <w:rsid w:val="140A7465"/>
    <w:rsid w:val="14266C7F"/>
    <w:rsid w:val="142F51B3"/>
    <w:rsid w:val="144461FE"/>
    <w:rsid w:val="144839C6"/>
    <w:rsid w:val="14542D3E"/>
    <w:rsid w:val="146D0E60"/>
    <w:rsid w:val="14A32E24"/>
    <w:rsid w:val="14AB5089"/>
    <w:rsid w:val="14B34BFF"/>
    <w:rsid w:val="14CE44D4"/>
    <w:rsid w:val="14CE6F16"/>
    <w:rsid w:val="14D40E66"/>
    <w:rsid w:val="14E05305"/>
    <w:rsid w:val="14F54E76"/>
    <w:rsid w:val="150A1588"/>
    <w:rsid w:val="15111BBB"/>
    <w:rsid w:val="151D650F"/>
    <w:rsid w:val="152173F1"/>
    <w:rsid w:val="152F6116"/>
    <w:rsid w:val="15366BB9"/>
    <w:rsid w:val="15587AA6"/>
    <w:rsid w:val="156F3927"/>
    <w:rsid w:val="157C09B7"/>
    <w:rsid w:val="157F4FE4"/>
    <w:rsid w:val="15C14B2E"/>
    <w:rsid w:val="15CC2301"/>
    <w:rsid w:val="15E8746C"/>
    <w:rsid w:val="16102EBA"/>
    <w:rsid w:val="16134FAB"/>
    <w:rsid w:val="162157D8"/>
    <w:rsid w:val="164125A5"/>
    <w:rsid w:val="168A691C"/>
    <w:rsid w:val="16955063"/>
    <w:rsid w:val="16A25402"/>
    <w:rsid w:val="16AA0E48"/>
    <w:rsid w:val="16B161F7"/>
    <w:rsid w:val="16B3663D"/>
    <w:rsid w:val="16ED5325"/>
    <w:rsid w:val="16F472F3"/>
    <w:rsid w:val="16F624EA"/>
    <w:rsid w:val="17041428"/>
    <w:rsid w:val="173C70F8"/>
    <w:rsid w:val="175C78AE"/>
    <w:rsid w:val="176763F7"/>
    <w:rsid w:val="178A671B"/>
    <w:rsid w:val="17B324C5"/>
    <w:rsid w:val="17BA6F41"/>
    <w:rsid w:val="17C66459"/>
    <w:rsid w:val="17E821C1"/>
    <w:rsid w:val="17EC6DEF"/>
    <w:rsid w:val="180B78E2"/>
    <w:rsid w:val="181010AA"/>
    <w:rsid w:val="182104CA"/>
    <w:rsid w:val="184451D4"/>
    <w:rsid w:val="186D5038"/>
    <w:rsid w:val="187A49B2"/>
    <w:rsid w:val="18942361"/>
    <w:rsid w:val="18A86944"/>
    <w:rsid w:val="18AD3448"/>
    <w:rsid w:val="18B27E84"/>
    <w:rsid w:val="18E7546F"/>
    <w:rsid w:val="19094ED0"/>
    <w:rsid w:val="192B4F70"/>
    <w:rsid w:val="193D0A1D"/>
    <w:rsid w:val="193E6B45"/>
    <w:rsid w:val="19406393"/>
    <w:rsid w:val="194443C3"/>
    <w:rsid w:val="195D5DB4"/>
    <w:rsid w:val="19632A15"/>
    <w:rsid w:val="196C3410"/>
    <w:rsid w:val="19935347"/>
    <w:rsid w:val="1999127E"/>
    <w:rsid w:val="19AA18C1"/>
    <w:rsid w:val="19D10D19"/>
    <w:rsid w:val="19DA7A4A"/>
    <w:rsid w:val="19F06DBD"/>
    <w:rsid w:val="19F85F21"/>
    <w:rsid w:val="1A125E41"/>
    <w:rsid w:val="1A4274FB"/>
    <w:rsid w:val="1A4473E1"/>
    <w:rsid w:val="1A7D1461"/>
    <w:rsid w:val="1A907FA2"/>
    <w:rsid w:val="1AB07CF9"/>
    <w:rsid w:val="1AD725CD"/>
    <w:rsid w:val="1B0F3FB5"/>
    <w:rsid w:val="1B293EF3"/>
    <w:rsid w:val="1B4E3F6E"/>
    <w:rsid w:val="1B585B91"/>
    <w:rsid w:val="1B5A7FEB"/>
    <w:rsid w:val="1B7703FC"/>
    <w:rsid w:val="1B860A5A"/>
    <w:rsid w:val="1B986580"/>
    <w:rsid w:val="1B9C3D2C"/>
    <w:rsid w:val="1BA90C43"/>
    <w:rsid w:val="1BF410BD"/>
    <w:rsid w:val="1C0F4187"/>
    <w:rsid w:val="1C104C7A"/>
    <w:rsid w:val="1C1367B5"/>
    <w:rsid w:val="1C43617F"/>
    <w:rsid w:val="1C665B41"/>
    <w:rsid w:val="1C8039D7"/>
    <w:rsid w:val="1C8930EA"/>
    <w:rsid w:val="1CA57370"/>
    <w:rsid w:val="1CB93DD1"/>
    <w:rsid w:val="1CC546B1"/>
    <w:rsid w:val="1CC90DBF"/>
    <w:rsid w:val="1CCC1B80"/>
    <w:rsid w:val="1CD00AA1"/>
    <w:rsid w:val="1CD06D82"/>
    <w:rsid w:val="1CDB079E"/>
    <w:rsid w:val="1CDB5F19"/>
    <w:rsid w:val="1CED258B"/>
    <w:rsid w:val="1CFA2B94"/>
    <w:rsid w:val="1D280A9E"/>
    <w:rsid w:val="1D331037"/>
    <w:rsid w:val="1D4F2EBA"/>
    <w:rsid w:val="1D624B96"/>
    <w:rsid w:val="1D627DBE"/>
    <w:rsid w:val="1D6F63F5"/>
    <w:rsid w:val="1D7856D5"/>
    <w:rsid w:val="1DBF61F7"/>
    <w:rsid w:val="1DCE5A55"/>
    <w:rsid w:val="1DE578F4"/>
    <w:rsid w:val="1E0D173A"/>
    <w:rsid w:val="1E3A13AE"/>
    <w:rsid w:val="1E4B06C5"/>
    <w:rsid w:val="1E751060"/>
    <w:rsid w:val="1E8243EF"/>
    <w:rsid w:val="1E8C77CE"/>
    <w:rsid w:val="1E937A32"/>
    <w:rsid w:val="1E98520F"/>
    <w:rsid w:val="1EBB7536"/>
    <w:rsid w:val="1EDF19C9"/>
    <w:rsid w:val="1EE30950"/>
    <w:rsid w:val="1EE81A60"/>
    <w:rsid w:val="1EE84C42"/>
    <w:rsid w:val="1EEC2BE9"/>
    <w:rsid w:val="1F0119D8"/>
    <w:rsid w:val="1F1C5366"/>
    <w:rsid w:val="1F540E95"/>
    <w:rsid w:val="1F6F2D47"/>
    <w:rsid w:val="1F764CD2"/>
    <w:rsid w:val="1F80717C"/>
    <w:rsid w:val="1F906863"/>
    <w:rsid w:val="1FC4298A"/>
    <w:rsid w:val="1FD30347"/>
    <w:rsid w:val="1FF3729D"/>
    <w:rsid w:val="1FF42EF6"/>
    <w:rsid w:val="2004443E"/>
    <w:rsid w:val="200B63FA"/>
    <w:rsid w:val="201B36D7"/>
    <w:rsid w:val="20260E7B"/>
    <w:rsid w:val="204452D4"/>
    <w:rsid w:val="20802DCF"/>
    <w:rsid w:val="20866FA5"/>
    <w:rsid w:val="2089070C"/>
    <w:rsid w:val="20957D3D"/>
    <w:rsid w:val="209E25EB"/>
    <w:rsid w:val="20EF0B74"/>
    <w:rsid w:val="210C00AA"/>
    <w:rsid w:val="210F3745"/>
    <w:rsid w:val="21276968"/>
    <w:rsid w:val="21337CDA"/>
    <w:rsid w:val="213604C8"/>
    <w:rsid w:val="213C11F3"/>
    <w:rsid w:val="217E7D3D"/>
    <w:rsid w:val="2192745A"/>
    <w:rsid w:val="21C538EA"/>
    <w:rsid w:val="21CF0061"/>
    <w:rsid w:val="21EF7791"/>
    <w:rsid w:val="220A6FAE"/>
    <w:rsid w:val="222436D1"/>
    <w:rsid w:val="22367606"/>
    <w:rsid w:val="224104A3"/>
    <w:rsid w:val="224750D8"/>
    <w:rsid w:val="22692878"/>
    <w:rsid w:val="227E1B23"/>
    <w:rsid w:val="22876FEB"/>
    <w:rsid w:val="229C5EA8"/>
    <w:rsid w:val="22A45445"/>
    <w:rsid w:val="22BB2F4C"/>
    <w:rsid w:val="23020617"/>
    <w:rsid w:val="230374F6"/>
    <w:rsid w:val="232A1AAA"/>
    <w:rsid w:val="232A5D1D"/>
    <w:rsid w:val="23347F84"/>
    <w:rsid w:val="233639E9"/>
    <w:rsid w:val="233950B7"/>
    <w:rsid w:val="2345321C"/>
    <w:rsid w:val="2355117B"/>
    <w:rsid w:val="236D7983"/>
    <w:rsid w:val="23932A0D"/>
    <w:rsid w:val="23BE4F89"/>
    <w:rsid w:val="23C46C4A"/>
    <w:rsid w:val="23D456B9"/>
    <w:rsid w:val="23FA2AD8"/>
    <w:rsid w:val="2442350A"/>
    <w:rsid w:val="2447615E"/>
    <w:rsid w:val="245F009A"/>
    <w:rsid w:val="247374C0"/>
    <w:rsid w:val="2488626C"/>
    <w:rsid w:val="24B31646"/>
    <w:rsid w:val="24BC3EA9"/>
    <w:rsid w:val="24D5448F"/>
    <w:rsid w:val="24DB0F43"/>
    <w:rsid w:val="24E5491D"/>
    <w:rsid w:val="24FC3B57"/>
    <w:rsid w:val="2539708C"/>
    <w:rsid w:val="2581558B"/>
    <w:rsid w:val="25836C50"/>
    <w:rsid w:val="25930A8F"/>
    <w:rsid w:val="25C24D84"/>
    <w:rsid w:val="25FF0702"/>
    <w:rsid w:val="26051773"/>
    <w:rsid w:val="2620380A"/>
    <w:rsid w:val="26353D3F"/>
    <w:rsid w:val="265C4A2E"/>
    <w:rsid w:val="2666432C"/>
    <w:rsid w:val="26881A11"/>
    <w:rsid w:val="26936585"/>
    <w:rsid w:val="269E5A45"/>
    <w:rsid w:val="26BA2A46"/>
    <w:rsid w:val="26BD0957"/>
    <w:rsid w:val="26C365D7"/>
    <w:rsid w:val="26D67448"/>
    <w:rsid w:val="26DA3EAF"/>
    <w:rsid w:val="27136FB3"/>
    <w:rsid w:val="27446CBE"/>
    <w:rsid w:val="27467257"/>
    <w:rsid w:val="27821173"/>
    <w:rsid w:val="27C33DCD"/>
    <w:rsid w:val="27FE1B4A"/>
    <w:rsid w:val="2817265D"/>
    <w:rsid w:val="283D3ECE"/>
    <w:rsid w:val="284732BF"/>
    <w:rsid w:val="285A1E20"/>
    <w:rsid w:val="28834210"/>
    <w:rsid w:val="28935454"/>
    <w:rsid w:val="28D00F95"/>
    <w:rsid w:val="28E82058"/>
    <w:rsid w:val="28EE74FD"/>
    <w:rsid w:val="28EF13B0"/>
    <w:rsid w:val="29074230"/>
    <w:rsid w:val="291D1252"/>
    <w:rsid w:val="293514A4"/>
    <w:rsid w:val="29440476"/>
    <w:rsid w:val="2993402E"/>
    <w:rsid w:val="299546F9"/>
    <w:rsid w:val="29A7121E"/>
    <w:rsid w:val="29B90ED0"/>
    <w:rsid w:val="29C45356"/>
    <w:rsid w:val="29DC0FEA"/>
    <w:rsid w:val="29DC7417"/>
    <w:rsid w:val="29E44322"/>
    <w:rsid w:val="2A0A74A0"/>
    <w:rsid w:val="2A334D64"/>
    <w:rsid w:val="2AA4564B"/>
    <w:rsid w:val="2AA71B12"/>
    <w:rsid w:val="2ABE387A"/>
    <w:rsid w:val="2ACB1B84"/>
    <w:rsid w:val="2ACE3F32"/>
    <w:rsid w:val="2B2A2EC5"/>
    <w:rsid w:val="2B4C1E60"/>
    <w:rsid w:val="2B59652E"/>
    <w:rsid w:val="2B7A1656"/>
    <w:rsid w:val="2B9069F9"/>
    <w:rsid w:val="2BA62C24"/>
    <w:rsid w:val="2BB527AF"/>
    <w:rsid w:val="2BE6317D"/>
    <w:rsid w:val="2BE8478F"/>
    <w:rsid w:val="2C2D733B"/>
    <w:rsid w:val="2C32793F"/>
    <w:rsid w:val="2C35085A"/>
    <w:rsid w:val="2C434982"/>
    <w:rsid w:val="2CEC2689"/>
    <w:rsid w:val="2CFB38EB"/>
    <w:rsid w:val="2D06046F"/>
    <w:rsid w:val="2D344B78"/>
    <w:rsid w:val="2D37516B"/>
    <w:rsid w:val="2D3D2AB9"/>
    <w:rsid w:val="2D6D3827"/>
    <w:rsid w:val="2D7D5A2F"/>
    <w:rsid w:val="2D963522"/>
    <w:rsid w:val="2DBB43BA"/>
    <w:rsid w:val="2DC05812"/>
    <w:rsid w:val="2DC81661"/>
    <w:rsid w:val="2DD3017F"/>
    <w:rsid w:val="2DD56E33"/>
    <w:rsid w:val="2DE76DB7"/>
    <w:rsid w:val="2E0416EC"/>
    <w:rsid w:val="2E27273E"/>
    <w:rsid w:val="2E2E51A8"/>
    <w:rsid w:val="2E4375F4"/>
    <w:rsid w:val="2E464205"/>
    <w:rsid w:val="2E4A28C8"/>
    <w:rsid w:val="2E553DCC"/>
    <w:rsid w:val="2E774DAE"/>
    <w:rsid w:val="2E777479"/>
    <w:rsid w:val="2E9077CD"/>
    <w:rsid w:val="2E9B5B9A"/>
    <w:rsid w:val="2EA106E8"/>
    <w:rsid w:val="2EA64D2C"/>
    <w:rsid w:val="2EB93152"/>
    <w:rsid w:val="2ED451B4"/>
    <w:rsid w:val="2EDD05AB"/>
    <w:rsid w:val="2EE8018D"/>
    <w:rsid w:val="2F111600"/>
    <w:rsid w:val="2F336885"/>
    <w:rsid w:val="2F426968"/>
    <w:rsid w:val="2F5C4B38"/>
    <w:rsid w:val="2F5F076C"/>
    <w:rsid w:val="2F634AB4"/>
    <w:rsid w:val="2F7426EB"/>
    <w:rsid w:val="2F8B1CEA"/>
    <w:rsid w:val="2F8C48B4"/>
    <w:rsid w:val="2FA1725F"/>
    <w:rsid w:val="2FA85977"/>
    <w:rsid w:val="2FB33356"/>
    <w:rsid w:val="2FB62BA7"/>
    <w:rsid w:val="2FBE1421"/>
    <w:rsid w:val="2FD9466E"/>
    <w:rsid w:val="2FE34A27"/>
    <w:rsid w:val="2FF10B69"/>
    <w:rsid w:val="30081200"/>
    <w:rsid w:val="301C62B8"/>
    <w:rsid w:val="30387ED9"/>
    <w:rsid w:val="305F5ABE"/>
    <w:rsid w:val="306C5279"/>
    <w:rsid w:val="308317B9"/>
    <w:rsid w:val="30861200"/>
    <w:rsid w:val="30992604"/>
    <w:rsid w:val="30A8569E"/>
    <w:rsid w:val="30AD42C3"/>
    <w:rsid w:val="30AE4117"/>
    <w:rsid w:val="30C32CD7"/>
    <w:rsid w:val="30D813B9"/>
    <w:rsid w:val="30E36AF3"/>
    <w:rsid w:val="30FA1876"/>
    <w:rsid w:val="30FB7172"/>
    <w:rsid w:val="313522E8"/>
    <w:rsid w:val="31367554"/>
    <w:rsid w:val="31383DAC"/>
    <w:rsid w:val="31456F95"/>
    <w:rsid w:val="31480833"/>
    <w:rsid w:val="317B73B9"/>
    <w:rsid w:val="31A22D55"/>
    <w:rsid w:val="31AD24C2"/>
    <w:rsid w:val="31D47B71"/>
    <w:rsid w:val="31D9340E"/>
    <w:rsid w:val="31DD0A31"/>
    <w:rsid w:val="31F06550"/>
    <w:rsid w:val="31FD7F1C"/>
    <w:rsid w:val="320B36CE"/>
    <w:rsid w:val="321E01EE"/>
    <w:rsid w:val="324936C0"/>
    <w:rsid w:val="326E7B27"/>
    <w:rsid w:val="32727EBB"/>
    <w:rsid w:val="32746868"/>
    <w:rsid w:val="32806DFE"/>
    <w:rsid w:val="32BB30DE"/>
    <w:rsid w:val="32BE7B72"/>
    <w:rsid w:val="32C25EE7"/>
    <w:rsid w:val="32C63C32"/>
    <w:rsid w:val="32DD50D4"/>
    <w:rsid w:val="32EC0FCF"/>
    <w:rsid w:val="32EE03D5"/>
    <w:rsid w:val="330D21F1"/>
    <w:rsid w:val="33190BF0"/>
    <w:rsid w:val="333919AF"/>
    <w:rsid w:val="334039F8"/>
    <w:rsid w:val="33662508"/>
    <w:rsid w:val="33C969A1"/>
    <w:rsid w:val="33D93FDD"/>
    <w:rsid w:val="33DD4BA0"/>
    <w:rsid w:val="33FE570C"/>
    <w:rsid w:val="342E20C2"/>
    <w:rsid w:val="3435120D"/>
    <w:rsid w:val="343E61F5"/>
    <w:rsid w:val="3444213E"/>
    <w:rsid w:val="34513EF9"/>
    <w:rsid w:val="345D18AC"/>
    <w:rsid w:val="34924238"/>
    <w:rsid w:val="349B1904"/>
    <w:rsid w:val="34A76C35"/>
    <w:rsid w:val="34AC1567"/>
    <w:rsid w:val="34B5268F"/>
    <w:rsid w:val="34D6203C"/>
    <w:rsid w:val="34E43DB8"/>
    <w:rsid w:val="350925D2"/>
    <w:rsid w:val="350B45D0"/>
    <w:rsid w:val="35262C7A"/>
    <w:rsid w:val="35342F2A"/>
    <w:rsid w:val="358C5E2E"/>
    <w:rsid w:val="358E0695"/>
    <w:rsid w:val="35A64318"/>
    <w:rsid w:val="35C365E6"/>
    <w:rsid w:val="35E73231"/>
    <w:rsid w:val="35E80759"/>
    <w:rsid w:val="36060E72"/>
    <w:rsid w:val="36090255"/>
    <w:rsid w:val="36155FE2"/>
    <w:rsid w:val="36280C33"/>
    <w:rsid w:val="36347413"/>
    <w:rsid w:val="363E1F0C"/>
    <w:rsid w:val="365714B3"/>
    <w:rsid w:val="3683404E"/>
    <w:rsid w:val="36CD6657"/>
    <w:rsid w:val="36EC6302"/>
    <w:rsid w:val="370708D6"/>
    <w:rsid w:val="37135AC5"/>
    <w:rsid w:val="371C0829"/>
    <w:rsid w:val="371E1608"/>
    <w:rsid w:val="372B6DE7"/>
    <w:rsid w:val="37381BE7"/>
    <w:rsid w:val="37434EA1"/>
    <w:rsid w:val="3760391E"/>
    <w:rsid w:val="37632453"/>
    <w:rsid w:val="377B1E87"/>
    <w:rsid w:val="37CA0D4C"/>
    <w:rsid w:val="37CD2DA7"/>
    <w:rsid w:val="37D70932"/>
    <w:rsid w:val="381C214E"/>
    <w:rsid w:val="381F2553"/>
    <w:rsid w:val="38397EDD"/>
    <w:rsid w:val="38552E83"/>
    <w:rsid w:val="38564E32"/>
    <w:rsid w:val="38695690"/>
    <w:rsid w:val="38905F28"/>
    <w:rsid w:val="38CE20E7"/>
    <w:rsid w:val="38E62715"/>
    <w:rsid w:val="38ED45AA"/>
    <w:rsid w:val="38F6431F"/>
    <w:rsid w:val="393314E1"/>
    <w:rsid w:val="395E546B"/>
    <w:rsid w:val="396511F9"/>
    <w:rsid w:val="39835C8A"/>
    <w:rsid w:val="398F400C"/>
    <w:rsid w:val="39926910"/>
    <w:rsid w:val="3994671B"/>
    <w:rsid w:val="399B585C"/>
    <w:rsid w:val="39B32F0A"/>
    <w:rsid w:val="39CE199D"/>
    <w:rsid w:val="39E43961"/>
    <w:rsid w:val="39F34327"/>
    <w:rsid w:val="39F84539"/>
    <w:rsid w:val="3A217A2D"/>
    <w:rsid w:val="3A2F1E4D"/>
    <w:rsid w:val="3A3C0CBD"/>
    <w:rsid w:val="3A485400"/>
    <w:rsid w:val="3A6411D5"/>
    <w:rsid w:val="3A6C1466"/>
    <w:rsid w:val="3A872743"/>
    <w:rsid w:val="3AA21CC7"/>
    <w:rsid w:val="3AA60313"/>
    <w:rsid w:val="3AA81593"/>
    <w:rsid w:val="3ABB2687"/>
    <w:rsid w:val="3AD831AC"/>
    <w:rsid w:val="3ADE4BC8"/>
    <w:rsid w:val="3AEE247E"/>
    <w:rsid w:val="3B070FEF"/>
    <w:rsid w:val="3B133E76"/>
    <w:rsid w:val="3B136CBE"/>
    <w:rsid w:val="3B1C2E01"/>
    <w:rsid w:val="3B2735B4"/>
    <w:rsid w:val="3B2D5196"/>
    <w:rsid w:val="3B353B42"/>
    <w:rsid w:val="3B3A7255"/>
    <w:rsid w:val="3B553568"/>
    <w:rsid w:val="3B5569DA"/>
    <w:rsid w:val="3B5C0109"/>
    <w:rsid w:val="3B6375C4"/>
    <w:rsid w:val="3B720B33"/>
    <w:rsid w:val="3B7656FC"/>
    <w:rsid w:val="3B9A1017"/>
    <w:rsid w:val="3BE56053"/>
    <w:rsid w:val="3BF42D81"/>
    <w:rsid w:val="3C142873"/>
    <w:rsid w:val="3C32102D"/>
    <w:rsid w:val="3C634D4F"/>
    <w:rsid w:val="3C704027"/>
    <w:rsid w:val="3C7F1CD9"/>
    <w:rsid w:val="3CB96D12"/>
    <w:rsid w:val="3CFB745B"/>
    <w:rsid w:val="3CFC7432"/>
    <w:rsid w:val="3D0E02E9"/>
    <w:rsid w:val="3D164823"/>
    <w:rsid w:val="3D25605E"/>
    <w:rsid w:val="3D2F0301"/>
    <w:rsid w:val="3D353B2A"/>
    <w:rsid w:val="3D601457"/>
    <w:rsid w:val="3D7103F5"/>
    <w:rsid w:val="3D727F77"/>
    <w:rsid w:val="3D737588"/>
    <w:rsid w:val="3D8449A1"/>
    <w:rsid w:val="3D9A471D"/>
    <w:rsid w:val="3DA939ED"/>
    <w:rsid w:val="3DA93DDC"/>
    <w:rsid w:val="3DC61B82"/>
    <w:rsid w:val="3DCB6A74"/>
    <w:rsid w:val="3DD95AE5"/>
    <w:rsid w:val="3DDA4C43"/>
    <w:rsid w:val="3E08107C"/>
    <w:rsid w:val="3E405DDF"/>
    <w:rsid w:val="3E66460A"/>
    <w:rsid w:val="3E9212CE"/>
    <w:rsid w:val="3E974ABE"/>
    <w:rsid w:val="3E984275"/>
    <w:rsid w:val="3E9B6003"/>
    <w:rsid w:val="3EB47730"/>
    <w:rsid w:val="3F00754F"/>
    <w:rsid w:val="3F0874A9"/>
    <w:rsid w:val="3F0A34AE"/>
    <w:rsid w:val="3F2E416A"/>
    <w:rsid w:val="3F344AB8"/>
    <w:rsid w:val="3F385686"/>
    <w:rsid w:val="3F402476"/>
    <w:rsid w:val="3F454604"/>
    <w:rsid w:val="3F456ED6"/>
    <w:rsid w:val="3F483869"/>
    <w:rsid w:val="3F6E1560"/>
    <w:rsid w:val="3F70689E"/>
    <w:rsid w:val="3F7E6F4E"/>
    <w:rsid w:val="3FD36B87"/>
    <w:rsid w:val="401852D2"/>
    <w:rsid w:val="40250F45"/>
    <w:rsid w:val="402600F4"/>
    <w:rsid w:val="403540D6"/>
    <w:rsid w:val="404E42C5"/>
    <w:rsid w:val="40664902"/>
    <w:rsid w:val="40684E2E"/>
    <w:rsid w:val="40910F2C"/>
    <w:rsid w:val="4093314D"/>
    <w:rsid w:val="40A73543"/>
    <w:rsid w:val="40D637DF"/>
    <w:rsid w:val="40E8669A"/>
    <w:rsid w:val="411C032D"/>
    <w:rsid w:val="41257459"/>
    <w:rsid w:val="41385411"/>
    <w:rsid w:val="41395125"/>
    <w:rsid w:val="414779C1"/>
    <w:rsid w:val="41585A15"/>
    <w:rsid w:val="415A3160"/>
    <w:rsid w:val="41651D29"/>
    <w:rsid w:val="417C1210"/>
    <w:rsid w:val="417C77A0"/>
    <w:rsid w:val="41937246"/>
    <w:rsid w:val="41986C6D"/>
    <w:rsid w:val="41A61C73"/>
    <w:rsid w:val="41BD1D6F"/>
    <w:rsid w:val="41CA56EC"/>
    <w:rsid w:val="41CC6917"/>
    <w:rsid w:val="41D03396"/>
    <w:rsid w:val="41DF009A"/>
    <w:rsid w:val="41FD6025"/>
    <w:rsid w:val="42311E3C"/>
    <w:rsid w:val="42381604"/>
    <w:rsid w:val="424B1F31"/>
    <w:rsid w:val="42510FC9"/>
    <w:rsid w:val="42580D72"/>
    <w:rsid w:val="42625A3A"/>
    <w:rsid w:val="42636B04"/>
    <w:rsid w:val="426650F0"/>
    <w:rsid w:val="42775578"/>
    <w:rsid w:val="42875B67"/>
    <w:rsid w:val="42892DA1"/>
    <w:rsid w:val="42A649DA"/>
    <w:rsid w:val="42FA28FF"/>
    <w:rsid w:val="430C3DE6"/>
    <w:rsid w:val="43196E40"/>
    <w:rsid w:val="43591FF7"/>
    <w:rsid w:val="43786F24"/>
    <w:rsid w:val="437A59CF"/>
    <w:rsid w:val="438432FE"/>
    <w:rsid w:val="43857C6F"/>
    <w:rsid w:val="438D657A"/>
    <w:rsid w:val="439A5443"/>
    <w:rsid w:val="43A51F34"/>
    <w:rsid w:val="43B32166"/>
    <w:rsid w:val="43B81923"/>
    <w:rsid w:val="43B92A86"/>
    <w:rsid w:val="43CE02F7"/>
    <w:rsid w:val="43E879A8"/>
    <w:rsid w:val="44167750"/>
    <w:rsid w:val="442E4832"/>
    <w:rsid w:val="443349E2"/>
    <w:rsid w:val="443B572E"/>
    <w:rsid w:val="444D6D3B"/>
    <w:rsid w:val="446179AF"/>
    <w:rsid w:val="44822DDF"/>
    <w:rsid w:val="4499321E"/>
    <w:rsid w:val="449A3CEC"/>
    <w:rsid w:val="44B139CE"/>
    <w:rsid w:val="44DB5BA2"/>
    <w:rsid w:val="44E018D5"/>
    <w:rsid w:val="44E02F06"/>
    <w:rsid w:val="44E828EA"/>
    <w:rsid w:val="450951E8"/>
    <w:rsid w:val="451A6C1E"/>
    <w:rsid w:val="453336E2"/>
    <w:rsid w:val="454B78BB"/>
    <w:rsid w:val="455B3D12"/>
    <w:rsid w:val="45611C35"/>
    <w:rsid w:val="457836D6"/>
    <w:rsid w:val="457F0139"/>
    <w:rsid w:val="457F175A"/>
    <w:rsid w:val="458E4A1A"/>
    <w:rsid w:val="459C53EB"/>
    <w:rsid w:val="45B6439F"/>
    <w:rsid w:val="460A232C"/>
    <w:rsid w:val="460D5654"/>
    <w:rsid w:val="4667562A"/>
    <w:rsid w:val="466F0443"/>
    <w:rsid w:val="467866E1"/>
    <w:rsid w:val="46891B01"/>
    <w:rsid w:val="46AA07BF"/>
    <w:rsid w:val="46B72EC7"/>
    <w:rsid w:val="46DE7206"/>
    <w:rsid w:val="46F04EA9"/>
    <w:rsid w:val="472159A7"/>
    <w:rsid w:val="47346254"/>
    <w:rsid w:val="47414A46"/>
    <w:rsid w:val="47687C25"/>
    <w:rsid w:val="478B73B3"/>
    <w:rsid w:val="478D398E"/>
    <w:rsid w:val="478F28C0"/>
    <w:rsid w:val="47A06AFF"/>
    <w:rsid w:val="47A55E71"/>
    <w:rsid w:val="47AF19AB"/>
    <w:rsid w:val="47B24801"/>
    <w:rsid w:val="47BC40D7"/>
    <w:rsid w:val="47EF3C14"/>
    <w:rsid w:val="47F26C8C"/>
    <w:rsid w:val="47FB2672"/>
    <w:rsid w:val="480E5AF1"/>
    <w:rsid w:val="485B772C"/>
    <w:rsid w:val="485F484C"/>
    <w:rsid w:val="489B157E"/>
    <w:rsid w:val="489B3923"/>
    <w:rsid w:val="48A55149"/>
    <w:rsid w:val="48B0674D"/>
    <w:rsid w:val="48CF0603"/>
    <w:rsid w:val="48F47D53"/>
    <w:rsid w:val="49025817"/>
    <w:rsid w:val="492150D4"/>
    <w:rsid w:val="49323F7F"/>
    <w:rsid w:val="493D7AA9"/>
    <w:rsid w:val="496B79C3"/>
    <w:rsid w:val="49711227"/>
    <w:rsid w:val="497235B0"/>
    <w:rsid w:val="49772DF2"/>
    <w:rsid w:val="49AF1540"/>
    <w:rsid w:val="4A234B46"/>
    <w:rsid w:val="4A36625B"/>
    <w:rsid w:val="4A4A6E8B"/>
    <w:rsid w:val="4A9E5AF6"/>
    <w:rsid w:val="4AA20295"/>
    <w:rsid w:val="4ADA1DF8"/>
    <w:rsid w:val="4AF21F28"/>
    <w:rsid w:val="4AF86280"/>
    <w:rsid w:val="4B095CD8"/>
    <w:rsid w:val="4B132092"/>
    <w:rsid w:val="4B225E36"/>
    <w:rsid w:val="4B2F7FE3"/>
    <w:rsid w:val="4B7F377D"/>
    <w:rsid w:val="4B845B3F"/>
    <w:rsid w:val="4BA059F7"/>
    <w:rsid w:val="4BC661B0"/>
    <w:rsid w:val="4BDF5396"/>
    <w:rsid w:val="4BEF141C"/>
    <w:rsid w:val="4BF46E6F"/>
    <w:rsid w:val="4BFD1004"/>
    <w:rsid w:val="4C102F2D"/>
    <w:rsid w:val="4C1972CD"/>
    <w:rsid w:val="4C1C7EA8"/>
    <w:rsid w:val="4C3A2DC9"/>
    <w:rsid w:val="4C8B7194"/>
    <w:rsid w:val="4CAD6144"/>
    <w:rsid w:val="4CC41179"/>
    <w:rsid w:val="4CC82813"/>
    <w:rsid w:val="4CCB4A38"/>
    <w:rsid w:val="4CCF55A8"/>
    <w:rsid w:val="4CD20CAC"/>
    <w:rsid w:val="4CDB1BAB"/>
    <w:rsid w:val="4D003831"/>
    <w:rsid w:val="4D047B1D"/>
    <w:rsid w:val="4D0610E4"/>
    <w:rsid w:val="4D0C4507"/>
    <w:rsid w:val="4D2A6BD4"/>
    <w:rsid w:val="4D49389C"/>
    <w:rsid w:val="4D521E4C"/>
    <w:rsid w:val="4D5A26E2"/>
    <w:rsid w:val="4D8900FB"/>
    <w:rsid w:val="4D9D270F"/>
    <w:rsid w:val="4DA71B1B"/>
    <w:rsid w:val="4DD3795C"/>
    <w:rsid w:val="4DD95A7F"/>
    <w:rsid w:val="4DE26BD1"/>
    <w:rsid w:val="4DEE07AC"/>
    <w:rsid w:val="4DFD3564"/>
    <w:rsid w:val="4E053396"/>
    <w:rsid w:val="4E3F7B31"/>
    <w:rsid w:val="4E6525CD"/>
    <w:rsid w:val="4E674FC3"/>
    <w:rsid w:val="4E6762E0"/>
    <w:rsid w:val="4E6A2A33"/>
    <w:rsid w:val="4E777193"/>
    <w:rsid w:val="4E7A2344"/>
    <w:rsid w:val="4EAD287B"/>
    <w:rsid w:val="4EAF61F9"/>
    <w:rsid w:val="4EB72491"/>
    <w:rsid w:val="4EDC19F4"/>
    <w:rsid w:val="4F230199"/>
    <w:rsid w:val="4F301719"/>
    <w:rsid w:val="4F35706D"/>
    <w:rsid w:val="4F4262A9"/>
    <w:rsid w:val="4F6236F2"/>
    <w:rsid w:val="4F7F00CA"/>
    <w:rsid w:val="4FB6437F"/>
    <w:rsid w:val="4FBF6FE5"/>
    <w:rsid w:val="4FC3252D"/>
    <w:rsid w:val="4FC723D8"/>
    <w:rsid w:val="4FDB5AD1"/>
    <w:rsid w:val="5002196D"/>
    <w:rsid w:val="501B4518"/>
    <w:rsid w:val="50227A4E"/>
    <w:rsid w:val="50573A7A"/>
    <w:rsid w:val="506158EA"/>
    <w:rsid w:val="50683928"/>
    <w:rsid w:val="506A5D7E"/>
    <w:rsid w:val="5073314A"/>
    <w:rsid w:val="507765E7"/>
    <w:rsid w:val="50797E5C"/>
    <w:rsid w:val="508D3C38"/>
    <w:rsid w:val="50945CB0"/>
    <w:rsid w:val="50AB31E5"/>
    <w:rsid w:val="50AD08AE"/>
    <w:rsid w:val="50AE1BC6"/>
    <w:rsid w:val="51185E57"/>
    <w:rsid w:val="511A60EA"/>
    <w:rsid w:val="511C65A8"/>
    <w:rsid w:val="5122532D"/>
    <w:rsid w:val="51534A4F"/>
    <w:rsid w:val="519E058F"/>
    <w:rsid w:val="51B6521E"/>
    <w:rsid w:val="51B86C56"/>
    <w:rsid w:val="51DC05D0"/>
    <w:rsid w:val="51EC5F6B"/>
    <w:rsid w:val="523A3A68"/>
    <w:rsid w:val="525A5CDC"/>
    <w:rsid w:val="526B5B33"/>
    <w:rsid w:val="526F3904"/>
    <w:rsid w:val="52D5178C"/>
    <w:rsid w:val="52F15985"/>
    <w:rsid w:val="53172635"/>
    <w:rsid w:val="5337169E"/>
    <w:rsid w:val="533767E7"/>
    <w:rsid w:val="5353114F"/>
    <w:rsid w:val="538368E4"/>
    <w:rsid w:val="539607CA"/>
    <w:rsid w:val="53A72D40"/>
    <w:rsid w:val="53A81F06"/>
    <w:rsid w:val="53C22D5D"/>
    <w:rsid w:val="53DD7B1C"/>
    <w:rsid w:val="54035BC1"/>
    <w:rsid w:val="540E1263"/>
    <w:rsid w:val="541D6303"/>
    <w:rsid w:val="54322744"/>
    <w:rsid w:val="54621307"/>
    <w:rsid w:val="54953EAE"/>
    <w:rsid w:val="54CA687E"/>
    <w:rsid w:val="54DB5397"/>
    <w:rsid w:val="54E04CA2"/>
    <w:rsid w:val="54E72894"/>
    <w:rsid w:val="55377139"/>
    <w:rsid w:val="55582E8A"/>
    <w:rsid w:val="555D001F"/>
    <w:rsid w:val="556F33EF"/>
    <w:rsid w:val="557B13CB"/>
    <w:rsid w:val="558C6F66"/>
    <w:rsid w:val="55AB3C2F"/>
    <w:rsid w:val="55D30E04"/>
    <w:rsid w:val="5605426C"/>
    <w:rsid w:val="56194B3C"/>
    <w:rsid w:val="562619C4"/>
    <w:rsid w:val="56777BE0"/>
    <w:rsid w:val="56885B23"/>
    <w:rsid w:val="56933C1B"/>
    <w:rsid w:val="56AC6FC2"/>
    <w:rsid w:val="56B4787E"/>
    <w:rsid w:val="56B562DE"/>
    <w:rsid w:val="56BA3212"/>
    <w:rsid w:val="56C16294"/>
    <w:rsid w:val="56C20AE4"/>
    <w:rsid w:val="56CF2033"/>
    <w:rsid w:val="573E0A8B"/>
    <w:rsid w:val="574C1426"/>
    <w:rsid w:val="574C182C"/>
    <w:rsid w:val="575B5EBB"/>
    <w:rsid w:val="57600896"/>
    <w:rsid w:val="57665321"/>
    <w:rsid w:val="57B0377C"/>
    <w:rsid w:val="57B712A3"/>
    <w:rsid w:val="57B96D6A"/>
    <w:rsid w:val="57C575E5"/>
    <w:rsid w:val="57CA7CC1"/>
    <w:rsid w:val="581B3B6D"/>
    <w:rsid w:val="584C5E00"/>
    <w:rsid w:val="585D7AEB"/>
    <w:rsid w:val="586061DE"/>
    <w:rsid w:val="587F68CB"/>
    <w:rsid w:val="58903588"/>
    <w:rsid w:val="58AE49AD"/>
    <w:rsid w:val="58AE5842"/>
    <w:rsid w:val="58E60312"/>
    <w:rsid w:val="5900723E"/>
    <w:rsid w:val="5917789E"/>
    <w:rsid w:val="59643FC7"/>
    <w:rsid w:val="596561B8"/>
    <w:rsid w:val="599550DE"/>
    <w:rsid w:val="599967AF"/>
    <w:rsid w:val="599C0E6D"/>
    <w:rsid w:val="59EF50B0"/>
    <w:rsid w:val="5A072D95"/>
    <w:rsid w:val="5A0B26D5"/>
    <w:rsid w:val="5A0E3B19"/>
    <w:rsid w:val="5A2E120B"/>
    <w:rsid w:val="5A336574"/>
    <w:rsid w:val="5A394776"/>
    <w:rsid w:val="5A3B2847"/>
    <w:rsid w:val="5A466F26"/>
    <w:rsid w:val="5A574417"/>
    <w:rsid w:val="5A7C471E"/>
    <w:rsid w:val="5A893254"/>
    <w:rsid w:val="5AA42665"/>
    <w:rsid w:val="5AA818D3"/>
    <w:rsid w:val="5AAE7778"/>
    <w:rsid w:val="5AAF0681"/>
    <w:rsid w:val="5AE33D37"/>
    <w:rsid w:val="5AE73A26"/>
    <w:rsid w:val="5B06230E"/>
    <w:rsid w:val="5B0C3F99"/>
    <w:rsid w:val="5B1E1B4C"/>
    <w:rsid w:val="5B1E5E19"/>
    <w:rsid w:val="5B201F4D"/>
    <w:rsid w:val="5B270A65"/>
    <w:rsid w:val="5B4D312B"/>
    <w:rsid w:val="5B6A3EA5"/>
    <w:rsid w:val="5B8C3F77"/>
    <w:rsid w:val="5BB32B5D"/>
    <w:rsid w:val="5BB77474"/>
    <w:rsid w:val="5BC545BE"/>
    <w:rsid w:val="5BC80F98"/>
    <w:rsid w:val="5BE018E4"/>
    <w:rsid w:val="5BE81F4D"/>
    <w:rsid w:val="5BF04686"/>
    <w:rsid w:val="5BFE31EA"/>
    <w:rsid w:val="5BFF0E8C"/>
    <w:rsid w:val="5C0521F8"/>
    <w:rsid w:val="5C125C66"/>
    <w:rsid w:val="5C25339C"/>
    <w:rsid w:val="5C5F010C"/>
    <w:rsid w:val="5C631EC9"/>
    <w:rsid w:val="5C675E44"/>
    <w:rsid w:val="5C73382B"/>
    <w:rsid w:val="5C8442F4"/>
    <w:rsid w:val="5C8B07A1"/>
    <w:rsid w:val="5C8D5640"/>
    <w:rsid w:val="5C9D30EA"/>
    <w:rsid w:val="5C9E277C"/>
    <w:rsid w:val="5CB8449C"/>
    <w:rsid w:val="5CD85FA0"/>
    <w:rsid w:val="5D0941FA"/>
    <w:rsid w:val="5D0A7210"/>
    <w:rsid w:val="5D1D4EC2"/>
    <w:rsid w:val="5D327362"/>
    <w:rsid w:val="5D601EF8"/>
    <w:rsid w:val="5D61396A"/>
    <w:rsid w:val="5D6C6AD3"/>
    <w:rsid w:val="5D844F64"/>
    <w:rsid w:val="5D9108F6"/>
    <w:rsid w:val="5DA66396"/>
    <w:rsid w:val="5DC26282"/>
    <w:rsid w:val="5E2270AC"/>
    <w:rsid w:val="5E2A6A47"/>
    <w:rsid w:val="5E383E8D"/>
    <w:rsid w:val="5E3C6AE8"/>
    <w:rsid w:val="5E5D4F0E"/>
    <w:rsid w:val="5E603150"/>
    <w:rsid w:val="5E954166"/>
    <w:rsid w:val="5ED0400E"/>
    <w:rsid w:val="5EFF6CA4"/>
    <w:rsid w:val="5F05558B"/>
    <w:rsid w:val="5F2E1889"/>
    <w:rsid w:val="5F3E6FB9"/>
    <w:rsid w:val="5F7563E8"/>
    <w:rsid w:val="60071CAB"/>
    <w:rsid w:val="60121E89"/>
    <w:rsid w:val="602F7B75"/>
    <w:rsid w:val="603715E5"/>
    <w:rsid w:val="603F0A81"/>
    <w:rsid w:val="604C76F4"/>
    <w:rsid w:val="604D3ABE"/>
    <w:rsid w:val="60527373"/>
    <w:rsid w:val="607F57B4"/>
    <w:rsid w:val="60820230"/>
    <w:rsid w:val="609A408B"/>
    <w:rsid w:val="60A814BA"/>
    <w:rsid w:val="60CF023C"/>
    <w:rsid w:val="60D63C84"/>
    <w:rsid w:val="60F96DA9"/>
    <w:rsid w:val="61086646"/>
    <w:rsid w:val="610E734E"/>
    <w:rsid w:val="6111535D"/>
    <w:rsid w:val="611E33CF"/>
    <w:rsid w:val="61506614"/>
    <w:rsid w:val="61756111"/>
    <w:rsid w:val="61A74A86"/>
    <w:rsid w:val="622E7666"/>
    <w:rsid w:val="62335274"/>
    <w:rsid w:val="62381940"/>
    <w:rsid w:val="62544F91"/>
    <w:rsid w:val="626B6A25"/>
    <w:rsid w:val="627D260D"/>
    <w:rsid w:val="628932EB"/>
    <w:rsid w:val="62F223FD"/>
    <w:rsid w:val="62F63EA7"/>
    <w:rsid w:val="630909DA"/>
    <w:rsid w:val="630B72A1"/>
    <w:rsid w:val="631403C4"/>
    <w:rsid w:val="632674B3"/>
    <w:rsid w:val="636202D6"/>
    <w:rsid w:val="63726BFF"/>
    <w:rsid w:val="63A31293"/>
    <w:rsid w:val="63BF7175"/>
    <w:rsid w:val="64111F65"/>
    <w:rsid w:val="6438233A"/>
    <w:rsid w:val="6441502F"/>
    <w:rsid w:val="645A12A2"/>
    <w:rsid w:val="646F480B"/>
    <w:rsid w:val="64750407"/>
    <w:rsid w:val="64760D60"/>
    <w:rsid w:val="64994053"/>
    <w:rsid w:val="64A20F18"/>
    <w:rsid w:val="64B61B11"/>
    <w:rsid w:val="64D52394"/>
    <w:rsid w:val="64E86511"/>
    <w:rsid w:val="64EA5368"/>
    <w:rsid w:val="656350E4"/>
    <w:rsid w:val="65683834"/>
    <w:rsid w:val="65777AC3"/>
    <w:rsid w:val="657B2D72"/>
    <w:rsid w:val="65883931"/>
    <w:rsid w:val="65AF094C"/>
    <w:rsid w:val="65B947B0"/>
    <w:rsid w:val="65F103A1"/>
    <w:rsid w:val="65FA13F5"/>
    <w:rsid w:val="660875E0"/>
    <w:rsid w:val="660E1D44"/>
    <w:rsid w:val="66276040"/>
    <w:rsid w:val="664137DD"/>
    <w:rsid w:val="66566D6A"/>
    <w:rsid w:val="66676C48"/>
    <w:rsid w:val="66845DDF"/>
    <w:rsid w:val="66AF07F7"/>
    <w:rsid w:val="66D162DA"/>
    <w:rsid w:val="66EA6F12"/>
    <w:rsid w:val="675D566E"/>
    <w:rsid w:val="67656D42"/>
    <w:rsid w:val="678C05E7"/>
    <w:rsid w:val="67905175"/>
    <w:rsid w:val="67AA64D1"/>
    <w:rsid w:val="67D559DD"/>
    <w:rsid w:val="67DD6E9D"/>
    <w:rsid w:val="67EC29F4"/>
    <w:rsid w:val="67F02BFF"/>
    <w:rsid w:val="681729DF"/>
    <w:rsid w:val="682444A1"/>
    <w:rsid w:val="682664D1"/>
    <w:rsid w:val="684735A8"/>
    <w:rsid w:val="685072CB"/>
    <w:rsid w:val="685F0AD9"/>
    <w:rsid w:val="686009C7"/>
    <w:rsid w:val="687F6856"/>
    <w:rsid w:val="688D02FE"/>
    <w:rsid w:val="690B6728"/>
    <w:rsid w:val="690C4439"/>
    <w:rsid w:val="69386934"/>
    <w:rsid w:val="69545478"/>
    <w:rsid w:val="69713F7E"/>
    <w:rsid w:val="69716456"/>
    <w:rsid w:val="699E7E9B"/>
    <w:rsid w:val="69B13B20"/>
    <w:rsid w:val="69B96673"/>
    <w:rsid w:val="69C02956"/>
    <w:rsid w:val="69C61C9F"/>
    <w:rsid w:val="69D61315"/>
    <w:rsid w:val="69F10D61"/>
    <w:rsid w:val="6A141F9F"/>
    <w:rsid w:val="6A1C49E1"/>
    <w:rsid w:val="6A4C7684"/>
    <w:rsid w:val="6A735A12"/>
    <w:rsid w:val="6A8D2548"/>
    <w:rsid w:val="6AB2562E"/>
    <w:rsid w:val="6AD20681"/>
    <w:rsid w:val="6AE306AA"/>
    <w:rsid w:val="6B154630"/>
    <w:rsid w:val="6B38476F"/>
    <w:rsid w:val="6B4C41CC"/>
    <w:rsid w:val="6B4F3D8C"/>
    <w:rsid w:val="6B5769C8"/>
    <w:rsid w:val="6B5F0190"/>
    <w:rsid w:val="6B762997"/>
    <w:rsid w:val="6B7A4E2A"/>
    <w:rsid w:val="6B7C2923"/>
    <w:rsid w:val="6B833C3B"/>
    <w:rsid w:val="6B945D75"/>
    <w:rsid w:val="6B9D2465"/>
    <w:rsid w:val="6BC80ED5"/>
    <w:rsid w:val="6BD436D4"/>
    <w:rsid w:val="6BDE172F"/>
    <w:rsid w:val="6BE501C2"/>
    <w:rsid w:val="6C2F68D0"/>
    <w:rsid w:val="6C3708EE"/>
    <w:rsid w:val="6C4630E8"/>
    <w:rsid w:val="6C48204F"/>
    <w:rsid w:val="6C556622"/>
    <w:rsid w:val="6C664F2A"/>
    <w:rsid w:val="6C6E1AF6"/>
    <w:rsid w:val="6C7B6B1C"/>
    <w:rsid w:val="6C915240"/>
    <w:rsid w:val="6CC93954"/>
    <w:rsid w:val="6CD2597C"/>
    <w:rsid w:val="6CE30931"/>
    <w:rsid w:val="6CFF1B45"/>
    <w:rsid w:val="6D000DE0"/>
    <w:rsid w:val="6D211A8D"/>
    <w:rsid w:val="6D26619C"/>
    <w:rsid w:val="6D2F197D"/>
    <w:rsid w:val="6D3077C1"/>
    <w:rsid w:val="6D437DBD"/>
    <w:rsid w:val="6D4B718C"/>
    <w:rsid w:val="6D71522A"/>
    <w:rsid w:val="6D744870"/>
    <w:rsid w:val="6D933075"/>
    <w:rsid w:val="6D9360F3"/>
    <w:rsid w:val="6DAB26FC"/>
    <w:rsid w:val="6DB520C1"/>
    <w:rsid w:val="6DD16B96"/>
    <w:rsid w:val="6DD9708B"/>
    <w:rsid w:val="6DF16626"/>
    <w:rsid w:val="6E622108"/>
    <w:rsid w:val="6E644369"/>
    <w:rsid w:val="6E660739"/>
    <w:rsid w:val="6E7F6EB1"/>
    <w:rsid w:val="6E973307"/>
    <w:rsid w:val="6EC930F1"/>
    <w:rsid w:val="6F1E7F02"/>
    <w:rsid w:val="6F282C5F"/>
    <w:rsid w:val="6F2C00D3"/>
    <w:rsid w:val="6F612809"/>
    <w:rsid w:val="6F8F70C5"/>
    <w:rsid w:val="6F96629E"/>
    <w:rsid w:val="6FB701CB"/>
    <w:rsid w:val="6FE216EF"/>
    <w:rsid w:val="70006FB0"/>
    <w:rsid w:val="70216C9E"/>
    <w:rsid w:val="70375109"/>
    <w:rsid w:val="703762C2"/>
    <w:rsid w:val="703E74D8"/>
    <w:rsid w:val="70487532"/>
    <w:rsid w:val="708A1686"/>
    <w:rsid w:val="70EB77F5"/>
    <w:rsid w:val="710D6480"/>
    <w:rsid w:val="71175D58"/>
    <w:rsid w:val="71282754"/>
    <w:rsid w:val="71351784"/>
    <w:rsid w:val="713C0004"/>
    <w:rsid w:val="71970A2A"/>
    <w:rsid w:val="71991355"/>
    <w:rsid w:val="71A7074C"/>
    <w:rsid w:val="71B27564"/>
    <w:rsid w:val="71C00056"/>
    <w:rsid w:val="71E62C9B"/>
    <w:rsid w:val="71EA624E"/>
    <w:rsid w:val="71EB20F2"/>
    <w:rsid w:val="71EE253D"/>
    <w:rsid w:val="721379F2"/>
    <w:rsid w:val="72434838"/>
    <w:rsid w:val="725D62F6"/>
    <w:rsid w:val="72766432"/>
    <w:rsid w:val="72995C58"/>
    <w:rsid w:val="72A11F27"/>
    <w:rsid w:val="72D73CB7"/>
    <w:rsid w:val="72DC054A"/>
    <w:rsid w:val="72EA7A88"/>
    <w:rsid w:val="73036A93"/>
    <w:rsid w:val="73062BEE"/>
    <w:rsid w:val="731E44B8"/>
    <w:rsid w:val="7327387D"/>
    <w:rsid w:val="73573CB2"/>
    <w:rsid w:val="73751374"/>
    <w:rsid w:val="737E5B95"/>
    <w:rsid w:val="73B53DE1"/>
    <w:rsid w:val="73E23C4C"/>
    <w:rsid w:val="73FF3111"/>
    <w:rsid w:val="74512AE9"/>
    <w:rsid w:val="7476301F"/>
    <w:rsid w:val="74802BC3"/>
    <w:rsid w:val="74874595"/>
    <w:rsid w:val="74967490"/>
    <w:rsid w:val="749D37B8"/>
    <w:rsid w:val="74A02B0E"/>
    <w:rsid w:val="74B35F41"/>
    <w:rsid w:val="74C0380A"/>
    <w:rsid w:val="74C921D2"/>
    <w:rsid w:val="75035D94"/>
    <w:rsid w:val="75236035"/>
    <w:rsid w:val="75301BEC"/>
    <w:rsid w:val="7552099D"/>
    <w:rsid w:val="755D3829"/>
    <w:rsid w:val="75617D01"/>
    <w:rsid w:val="758F592E"/>
    <w:rsid w:val="75D07B48"/>
    <w:rsid w:val="75EF7C75"/>
    <w:rsid w:val="75F223C4"/>
    <w:rsid w:val="7615126F"/>
    <w:rsid w:val="76211A2C"/>
    <w:rsid w:val="762E1FA3"/>
    <w:rsid w:val="76363FEC"/>
    <w:rsid w:val="763B7EE3"/>
    <w:rsid w:val="76465BEC"/>
    <w:rsid w:val="76496EBE"/>
    <w:rsid w:val="764E3C7C"/>
    <w:rsid w:val="76576DA3"/>
    <w:rsid w:val="76664579"/>
    <w:rsid w:val="76676A46"/>
    <w:rsid w:val="7670093C"/>
    <w:rsid w:val="76A145B9"/>
    <w:rsid w:val="76BD1312"/>
    <w:rsid w:val="76EA4702"/>
    <w:rsid w:val="77004BF2"/>
    <w:rsid w:val="770D4D55"/>
    <w:rsid w:val="77240E8B"/>
    <w:rsid w:val="773A0474"/>
    <w:rsid w:val="77532B17"/>
    <w:rsid w:val="77671FF7"/>
    <w:rsid w:val="776A31BA"/>
    <w:rsid w:val="776E6086"/>
    <w:rsid w:val="77844C77"/>
    <w:rsid w:val="778F739D"/>
    <w:rsid w:val="77CE2AD9"/>
    <w:rsid w:val="78136690"/>
    <w:rsid w:val="78177CD5"/>
    <w:rsid w:val="785B7B96"/>
    <w:rsid w:val="786C7506"/>
    <w:rsid w:val="78817F5C"/>
    <w:rsid w:val="78B22B49"/>
    <w:rsid w:val="78B72367"/>
    <w:rsid w:val="78C159E7"/>
    <w:rsid w:val="78C55E90"/>
    <w:rsid w:val="78CB4ABE"/>
    <w:rsid w:val="78CC4EEE"/>
    <w:rsid w:val="78DB0C82"/>
    <w:rsid w:val="78FE3711"/>
    <w:rsid w:val="79391A7D"/>
    <w:rsid w:val="7944376B"/>
    <w:rsid w:val="79490349"/>
    <w:rsid w:val="797E6E2D"/>
    <w:rsid w:val="79841343"/>
    <w:rsid w:val="79C70D5B"/>
    <w:rsid w:val="79CD5784"/>
    <w:rsid w:val="79E60D31"/>
    <w:rsid w:val="7A03496E"/>
    <w:rsid w:val="7A155CFE"/>
    <w:rsid w:val="7A233FA4"/>
    <w:rsid w:val="7A2C3502"/>
    <w:rsid w:val="7A485C49"/>
    <w:rsid w:val="7A4A4596"/>
    <w:rsid w:val="7A740BBD"/>
    <w:rsid w:val="7ABB7C3B"/>
    <w:rsid w:val="7AE07528"/>
    <w:rsid w:val="7B010781"/>
    <w:rsid w:val="7B101CD7"/>
    <w:rsid w:val="7B333CF3"/>
    <w:rsid w:val="7B58479C"/>
    <w:rsid w:val="7B6A1F89"/>
    <w:rsid w:val="7B6F348E"/>
    <w:rsid w:val="7B885D7D"/>
    <w:rsid w:val="7BA103B1"/>
    <w:rsid w:val="7BED25F2"/>
    <w:rsid w:val="7C0D4B58"/>
    <w:rsid w:val="7C4B7E1D"/>
    <w:rsid w:val="7C505A3C"/>
    <w:rsid w:val="7C5A2F79"/>
    <w:rsid w:val="7CA60793"/>
    <w:rsid w:val="7CD61D90"/>
    <w:rsid w:val="7CEC346B"/>
    <w:rsid w:val="7CF2552F"/>
    <w:rsid w:val="7CF43481"/>
    <w:rsid w:val="7D12437B"/>
    <w:rsid w:val="7D51267B"/>
    <w:rsid w:val="7D540388"/>
    <w:rsid w:val="7D697134"/>
    <w:rsid w:val="7D7271B8"/>
    <w:rsid w:val="7D83392F"/>
    <w:rsid w:val="7D8B23D2"/>
    <w:rsid w:val="7D970C36"/>
    <w:rsid w:val="7D9D5988"/>
    <w:rsid w:val="7DA61DCF"/>
    <w:rsid w:val="7DAB7F64"/>
    <w:rsid w:val="7DBF6967"/>
    <w:rsid w:val="7DCD6447"/>
    <w:rsid w:val="7DD010E6"/>
    <w:rsid w:val="7DFE116A"/>
    <w:rsid w:val="7E117F74"/>
    <w:rsid w:val="7E233BCF"/>
    <w:rsid w:val="7E57498A"/>
    <w:rsid w:val="7E7564D4"/>
    <w:rsid w:val="7E785227"/>
    <w:rsid w:val="7E7B6D76"/>
    <w:rsid w:val="7E853470"/>
    <w:rsid w:val="7E873CAF"/>
    <w:rsid w:val="7E8F4FED"/>
    <w:rsid w:val="7E936943"/>
    <w:rsid w:val="7EA96F7E"/>
    <w:rsid w:val="7ED22012"/>
    <w:rsid w:val="7EF764B6"/>
    <w:rsid w:val="7F006321"/>
    <w:rsid w:val="7F25048F"/>
    <w:rsid w:val="7F444D91"/>
    <w:rsid w:val="7F45477D"/>
    <w:rsid w:val="7F4F500C"/>
    <w:rsid w:val="7F842463"/>
    <w:rsid w:val="7F9A3F64"/>
    <w:rsid w:val="7FCB0D9E"/>
    <w:rsid w:val="7FF746F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99" w:semiHidden="0" w:name="HTML Keyboard"/>
    <w:lsdException w:uiPriority="0" w:name="HTML Preformatted"/>
    <w:lsdException w:qFormat="1" w:uiPriority="99" w:semiHidden="0" w:name="HTML Sample"/>
    <w:lsdException w:qFormat="1" w:uiPriority="99"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2"/>
    <w:qFormat/>
    <w:uiPriority w:val="0"/>
    <w:pPr>
      <w:spacing w:line="360" w:lineRule="auto"/>
      <w:jc w:val="center"/>
      <w:outlineLvl w:val="0"/>
    </w:pPr>
    <w:rPr>
      <w:rFonts w:ascii="宋体"/>
      <w:b/>
      <w:kern w:val="44"/>
      <w:sz w:val="30"/>
    </w:rPr>
  </w:style>
  <w:style w:type="paragraph" w:styleId="5">
    <w:name w:val="heading 2"/>
    <w:basedOn w:val="1"/>
    <w:next w:val="6"/>
    <w:link w:val="63"/>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0"/>
    <w:pPr>
      <w:keepNext/>
      <w:keepLines/>
      <w:spacing w:before="260" w:after="260" w:line="413" w:lineRule="auto"/>
      <w:outlineLvl w:val="2"/>
    </w:pPr>
    <w:rPr>
      <w:b/>
      <w:sz w:val="32"/>
    </w:rPr>
  </w:style>
  <w:style w:type="paragraph" w:styleId="8">
    <w:name w:val="heading 4"/>
    <w:basedOn w:val="1"/>
    <w:next w:val="1"/>
    <w:link w:val="64"/>
    <w:unhideWhenUsed/>
    <w:qFormat/>
    <w:uiPriority w:val="9"/>
    <w:pPr>
      <w:keepNext/>
      <w:keepLines/>
      <w:spacing w:before="280" w:after="290" w:line="376" w:lineRule="auto"/>
      <w:outlineLvl w:val="3"/>
    </w:pPr>
    <w:rPr>
      <w:rFonts w:ascii="Cambria" w:hAnsi="Cambri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三级标题"/>
    <w:basedOn w:val="3"/>
    <w:qFormat/>
    <w:uiPriority w:val="0"/>
    <w:pPr>
      <w:topLinePunct/>
      <w:spacing w:before="50" w:after="50"/>
      <w:ind w:firstLine="200" w:firstLineChars="200"/>
    </w:pPr>
  </w:style>
  <w:style w:type="paragraph" w:styleId="6">
    <w:name w:val="Body Text"/>
    <w:basedOn w:val="1"/>
    <w:next w:val="7"/>
    <w:unhideWhenUsed/>
    <w:qFormat/>
    <w:uiPriority w:val="0"/>
    <w:pPr>
      <w:spacing w:line="360" w:lineRule="auto"/>
    </w:pPr>
    <w:rPr>
      <w:sz w:val="24"/>
    </w:rPr>
  </w:style>
  <w:style w:type="paragraph" w:customStyle="1" w:styleId="7">
    <w:name w:val="Default"/>
    <w:link w:val="7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Normal Indent"/>
    <w:basedOn w:val="1"/>
    <w:link w:val="65"/>
    <w:qFormat/>
    <w:uiPriority w:val="0"/>
    <w:pPr>
      <w:widowControl/>
      <w:ind w:firstLine="420"/>
      <w:jc w:val="left"/>
    </w:pPr>
    <w:rPr>
      <w:kern w:val="0"/>
      <w:sz w:val="20"/>
    </w:rPr>
  </w:style>
  <w:style w:type="paragraph" w:styleId="10">
    <w:name w:val="Document Map"/>
    <w:basedOn w:val="1"/>
    <w:link w:val="66"/>
    <w:qFormat/>
    <w:uiPriority w:val="0"/>
    <w:rPr>
      <w:rFonts w:ascii="宋体"/>
      <w:sz w:val="18"/>
    </w:rPr>
  </w:style>
  <w:style w:type="paragraph" w:styleId="11">
    <w:name w:val="annotation text"/>
    <w:basedOn w:val="1"/>
    <w:qFormat/>
    <w:uiPriority w:val="0"/>
    <w:pPr>
      <w:jc w:val="left"/>
    </w:pPr>
  </w:style>
  <w:style w:type="paragraph" w:styleId="12">
    <w:name w:val="Body Text 3"/>
    <w:basedOn w:val="1"/>
    <w:qFormat/>
    <w:uiPriority w:val="0"/>
    <w:rPr>
      <w:rFonts w:ascii="宋体"/>
      <w:sz w:val="24"/>
    </w:rPr>
  </w:style>
  <w:style w:type="paragraph" w:styleId="13">
    <w:name w:val="Body Text Indent"/>
    <w:basedOn w:val="1"/>
    <w:qFormat/>
    <w:uiPriority w:val="0"/>
    <w:pPr>
      <w:spacing w:line="460" w:lineRule="exact"/>
      <w:ind w:firstLine="570"/>
    </w:pPr>
    <w:rPr>
      <w:b/>
      <w:sz w:val="28"/>
    </w:rPr>
  </w:style>
  <w:style w:type="paragraph" w:styleId="14">
    <w:name w:val="Block Text"/>
    <w:basedOn w:val="1"/>
    <w:qFormat/>
    <w:uiPriority w:val="0"/>
    <w:pPr>
      <w:snapToGrid w:val="0"/>
      <w:ind w:firstLine="240" w:firstLineChars="100"/>
    </w:pPr>
    <w:rPr>
      <w:rFonts w:eastAsia="Times New Roman"/>
      <w:color w:val="000000"/>
      <w:kern w:val="0"/>
      <w:sz w:val="24"/>
      <w:szCs w:val="24"/>
    </w:rPr>
  </w:style>
  <w:style w:type="paragraph" w:styleId="15">
    <w:name w:val="toc 3"/>
    <w:basedOn w:val="1"/>
    <w:next w:val="1"/>
    <w:unhideWhenUsed/>
    <w:qFormat/>
    <w:uiPriority w:val="39"/>
    <w:pPr>
      <w:ind w:left="840" w:leftChars="400"/>
    </w:pPr>
  </w:style>
  <w:style w:type="paragraph" w:styleId="16">
    <w:name w:val="Plain Text"/>
    <w:basedOn w:val="1"/>
    <w:qFormat/>
    <w:uiPriority w:val="0"/>
    <w:rPr>
      <w:rFonts w:hAnsi="Courier New"/>
    </w:rPr>
  </w:style>
  <w:style w:type="paragraph" w:styleId="17">
    <w:name w:val="Date"/>
    <w:basedOn w:val="1"/>
    <w:next w:val="1"/>
    <w:qFormat/>
    <w:uiPriority w:val="0"/>
    <w:pPr>
      <w:ind w:left="2500" w:leftChars="2500"/>
    </w:pPr>
    <w:rPr>
      <w:sz w:val="28"/>
    </w:rPr>
  </w:style>
  <w:style w:type="paragraph" w:styleId="18">
    <w:name w:val="Balloon Text"/>
    <w:basedOn w:val="1"/>
    <w:link w:val="67"/>
    <w:qFormat/>
    <w:uiPriority w:val="0"/>
    <w:rPr>
      <w:sz w:val="18"/>
    </w:rPr>
  </w:style>
  <w:style w:type="paragraph" w:styleId="19">
    <w:name w:val="footer"/>
    <w:basedOn w:val="1"/>
    <w:next w:val="20"/>
    <w:link w:val="68"/>
    <w:qFormat/>
    <w:uiPriority w:val="99"/>
    <w:pPr>
      <w:tabs>
        <w:tab w:val="center" w:pos="4153"/>
        <w:tab w:val="right" w:pos="8306"/>
      </w:tabs>
      <w:snapToGrid w:val="0"/>
    </w:pPr>
    <w:rPr>
      <w:sz w:val="18"/>
    </w:rPr>
  </w:style>
  <w:style w:type="paragraph" w:styleId="20">
    <w:name w:val="annotation subject"/>
    <w:basedOn w:val="11"/>
    <w:next w:val="11"/>
    <w:qFormat/>
    <w:uiPriority w:val="0"/>
    <w:rPr>
      <w:b/>
    </w:rPr>
  </w:style>
  <w:style w:type="paragraph" w:styleId="21">
    <w:name w:val="header"/>
    <w:basedOn w:val="1"/>
    <w:link w:val="69"/>
    <w:qFormat/>
    <w:uiPriority w:val="0"/>
    <w:pPr>
      <w:tabs>
        <w:tab w:val="center" w:pos="4153"/>
        <w:tab w:val="right" w:pos="8306"/>
      </w:tabs>
      <w:snapToGrid w:val="0"/>
    </w:pPr>
    <w:rPr>
      <w:sz w:val="18"/>
    </w:rPr>
  </w:style>
  <w:style w:type="paragraph" w:styleId="22">
    <w:name w:val="toc 1"/>
    <w:basedOn w:val="1"/>
    <w:next w:val="1"/>
    <w:unhideWhenUsed/>
    <w:qFormat/>
    <w:uiPriority w:val="39"/>
    <w:pPr>
      <w:spacing w:line="480" w:lineRule="auto"/>
    </w:pPr>
    <w:rPr>
      <w:sz w:val="28"/>
    </w:rPr>
  </w:style>
  <w:style w:type="paragraph" w:styleId="23">
    <w:name w:val="toc 4"/>
    <w:basedOn w:val="1"/>
    <w:next w:val="1"/>
    <w:qFormat/>
    <w:uiPriority w:val="0"/>
    <w:pPr>
      <w:ind w:left="1260" w:leftChars="600"/>
    </w:pPr>
    <w:rPr>
      <w:rFonts w:eastAsia="Times New Roman"/>
      <w:color w:val="000000"/>
      <w:kern w:val="0"/>
      <w:sz w:val="24"/>
    </w:rPr>
  </w:style>
  <w:style w:type="paragraph" w:styleId="24">
    <w:name w:val="Body Text Indent 3"/>
    <w:basedOn w:val="1"/>
    <w:link w:val="76"/>
    <w:qFormat/>
    <w:uiPriority w:val="0"/>
    <w:pPr>
      <w:spacing w:after="120"/>
      <w:ind w:left="420" w:leftChars="200"/>
    </w:pPr>
    <w:rPr>
      <w:rFonts w:eastAsia="Times New Roman"/>
      <w:color w:val="000000"/>
      <w:kern w:val="0"/>
      <w:sz w:val="16"/>
      <w:szCs w:val="16"/>
    </w:rPr>
  </w:style>
  <w:style w:type="paragraph" w:styleId="25">
    <w:name w:val="toc 2"/>
    <w:basedOn w:val="1"/>
    <w:next w:val="1"/>
    <w:unhideWhenUsed/>
    <w:qFormat/>
    <w:uiPriority w:val="39"/>
    <w:pPr>
      <w:tabs>
        <w:tab w:val="right" w:leader="dot" w:pos="9062"/>
      </w:tabs>
      <w:spacing w:line="360" w:lineRule="auto"/>
      <w:ind w:firstLine="420" w:firstLineChars="200"/>
    </w:pPr>
  </w:style>
  <w:style w:type="paragraph" w:styleId="26">
    <w:name w:val="Body Text 2"/>
    <w:basedOn w:val="1"/>
    <w:qFormat/>
    <w:uiPriority w:val="0"/>
    <w:pPr>
      <w:spacing w:after="120" w:line="480" w:lineRule="auto"/>
    </w:pPr>
    <w:rPr>
      <w:szCs w:val="24"/>
    </w:rPr>
  </w:style>
  <w:style w:type="paragraph" w:styleId="27">
    <w:name w:val="Normal (Web)"/>
    <w:basedOn w:val="1"/>
    <w:qFormat/>
    <w:uiPriority w:val="0"/>
    <w:pPr>
      <w:widowControl/>
      <w:spacing w:before="100" w:beforeAutospacing="1" w:after="100" w:afterAutospacing="1"/>
      <w:jc w:val="left"/>
    </w:pPr>
    <w:rPr>
      <w:rFonts w:ascii="宋体"/>
      <w:kern w:val="0"/>
      <w:sz w:val="24"/>
    </w:rPr>
  </w:style>
  <w:style w:type="paragraph" w:styleId="28">
    <w:name w:val="Title"/>
    <w:basedOn w:val="1"/>
    <w:next w:val="1"/>
    <w:link w:val="70"/>
    <w:qFormat/>
    <w:uiPriority w:val="10"/>
    <w:pPr>
      <w:spacing w:before="240" w:after="60"/>
      <w:jc w:val="center"/>
      <w:outlineLvl w:val="0"/>
    </w:pPr>
    <w:rPr>
      <w:rFonts w:ascii="Cambria" w:hAnsi="Cambria"/>
      <w:b/>
      <w:bCs/>
      <w:sz w:val="32"/>
      <w:szCs w:val="32"/>
    </w:rPr>
  </w:style>
  <w:style w:type="paragraph" w:styleId="29">
    <w:name w:val="Body Text First Indent 2"/>
    <w:basedOn w:val="13"/>
    <w:qFormat/>
    <w:uiPriority w:val="99"/>
    <w:pPr>
      <w:ind w:firstLine="420" w:firstLineChars="200"/>
    </w:pPr>
  </w:style>
  <w:style w:type="table" w:styleId="31">
    <w:name w:val="Table Grid"/>
    <w:basedOn w:val="3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rPr>
  </w:style>
  <w:style w:type="character" w:styleId="34">
    <w:name w:val="page number"/>
    <w:qFormat/>
    <w:uiPriority w:val="0"/>
  </w:style>
  <w:style w:type="character" w:styleId="35">
    <w:name w:val="FollowedHyperlink"/>
    <w:qFormat/>
    <w:uiPriority w:val="0"/>
    <w:rPr>
      <w:color w:val="333333"/>
      <w:sz w:val="12"/>
      <w:szCs w:val="12"/>
      <w:u w:val="none"/>
    </w:rPr>
  </w:style>
  <w:style w:type="character" w:styleId="36">
    <w:name w:val="Emphasis"/>
    <w:basedOn w:val="32"/>
    <w:qFormat/>
    <w:uiPriority w:val="0"/>
  </w:style>
  <w:style w:type="character" w:styleId="37">
    <w:name w:val="HTML Definition"/>
    <w:basedOn w:val="32"/>
    <w:qFormat/>
    <w:uiPriority w:val="0"/>
  </w:style>
  <w:style w:type="character" w:styleId="38">
    <w:name w:val="HTML Typewriter"/>
    <w:unhideWhenUsed/>
    <w:qFormat/>
    <w:uiPriority w:val="99"/>
    <w:rPr>
      <w:rFonts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qFormat/>
    <w:uiPriority w:val="99"/>
    <w:rPr>
      <w:color w:val="0000FF"/>
      <w:u w:val="single"/>
    </w:rPr>
  </w:style>
  <w:style w:type="character" w:styleId="42">
    <w:name w:val="HTML Code"/>
    <w:qFormat/>
    <w:uiPriority w:val="0"/>
    <w:rPr>
      <w:rFonts w:ascii="Courier New" w:hAnsi="Courier New"/>
      <w:sz w:val="20"/>
    </w:rPr>
  </w:style>
  <w:style w:type="character" w:styleId="43">
    <w:name w:val="annotation reference"/>
    <w:qFormat/>
    <w:uiPriority w:val="99"/>
    <w:rPr>
      <w:sz w:val="21"/>
    </w:rPr>
  </w:style>
  <w:style w:type="character" w:styleId="44">
    <w:name w:val="HTML Cite"/>
    <w:basedOn w:val="32"/>
    <w:qFormat/>
    <w:uiPriority w:val="0"/>
  </w:style>
  <w:style w:type="character" w:styleId="45">
    <w:name w:val="HTML Keyboard"/>
    <w:unhideWhenUsed/>
    <w:qFormat/>
    <w:uiPriority w:val="99"/>
    <w:rPr>
      <w:rFonts w:hint="default" w:ascii="monospace" w:hAnsi="monospace" w:eastAsia="monospace" w:cs="monospace"/>
      <w:sz w:val="20"/>
    </w:rPr>
  </w:style>
  <w:style w:type="character" w:styleId="46">
    <w:name w:val="HTML Sample"/>
    <w:unhideWhenUsed/>
    <w:qFormat/>
    <w:uiPriority w:val="99"/>
    <w:rPr>
      <w:rFonts w:hint="default" w:ascii="monospace" w:hAnsi="monospace" w:eastAsia="monospace" w:cs="monospace"/>
    </w:rPr>
  </w:style>
  <w:style w:type="paragraph" w:customStyle="1" w:styleId="47">
    <w:name w:val="Char Char Char"/>
    <w:basedOn w:val="1"/>
    <w:qFormat/>
    <w:uiPriority w:val="0"/>
    <w:rPr>
      <w:kern w:val="0"/>
      <w:sz w:val="24"/>
    </w:rPr>
  </w:style>
  <w:style w:type="paragraph" w:customStyle="1" w:styleId="48">
    <w:name w:val="zhang"/>
    <w:basedOn w:val="1"/>
    <w:qFormat/>
    <w:uiPriority w:val="0"/>
    <w:pPr>
      <w:widowControl/>
      <w:spacing w:before="100" w:beforeAutospacing="1" w:after="100" w:afterAutospacing="1"/>
      <w:jc w:val="left"/>
    </w:pPr>
    <w:rPr>
      <w:rFonts w:ascii="宋体" w:hAnsi="宋体" w:cs="宋体"/>
      <w:b/>
      <w:bCs/>
      <w:smallCaps/>
      <w:color w:val="000000"/>
      <w:kern w:val="0"/>
      <w:sz w:val="20"/>
    </w:rPr>
  </w:style>
  <w:style w:type="paragraph" w:customStyle="1" w:styleId="49">
    <w:name w:val="无间隔1"/>
    <w:qFormat/>
    <w:uiPriority w:val="0"/>
    <w:rPr>
      <w:rFonts w:ascii="等线" w:hAnsi="Times New Roman" w:eastAsia="等线" w:cs="Times New Roman"/>
      <w:sz w:val="22"/>
      <w:lang w:val="en-US" w:eastAsia="zh-CN" w:bidi="ar-SA"/>
    </w:rPr>
  </w:style>
  <w:style w:type="paragraph" w:customStyle="1" w:styleId="50">
    <w:name w:val="列出段落2"/>
    <w:basedOn w:val="1"/>
    <w:qFormat/>
    <w:uiPriority w:val="0"/>
    <w:pPr>
      <w:ind w:firstLine="420" w:firstLineChars="200"/>
    </w:pPr>
  </w:style>
  <w:style w:type="paragraph" w:customStyle="1" w:styleId="51">
    <w:name w:val="_Style 30"/>
    <w:unhideWhenUsed/>
    <w:qFormat/>
    <w:uiPriority w:val="99"/>
    <w:rPr>
      <w:rFonts w:ascii="Times New Roman" w:hAnsi="Times New Roman" w:eastAsia="宋体" w:cs="Times New Roman"/>
      <w:kern w:val="2"/>
      <w:sz w:val="21"/>
      <w:lang w:val="en-US" w:eastAsia="zh-CN" w:bidi="ar-SA"/>
    </w:rPr>
  </w:style>
  <w:style w:type="paragraph" w:customStyle="1" w:styleId="52">
    <w:name w:val="p0"/>
    <w:basedOn w:val="1"/>
    <w:qFormat/>
    <w:uiPriority w:val="0"/>
    <w:pPr>
      <w:widowControl/>
    </w:pPr>
    <w:rPr>
      <w:kern w:val="0"/>
      <w:szCs w:val="21"/>
    </w:rPr>
  </w:style>
  <w:style w:type="paragraph" w:customStyle="1" w:styleId="53">
    <w:name w:val="_Style 32"/>
    <w:basedOn w:val="4"/>
    <w:next w:val="1"/>
    <w:qFormat/>
    <w:uiPriority w:val="39"/>
    <w:pPr>
      <w:keepNext/>
      <w:keepLines/>
      <w:widowControl/>
      <w:spacing w:before="480" w:line="276" w:lineRule="auto"/>
      <w:jc w:val="left"/>
      <w:outlineLvl w:val="9"/>
    </w:pPr>
    <w:rPr>
      <w:rFonts w:ascii="Cambria" w:hAnsi="Cambria"/>
      <w:bCs/>
      <w:color w:val="365F91"/>
      <w:kern w:val="0"/>
      <w:sz w:val="28"/>
      <w:szCs w:val="28"/>
    </w:rPr>
  </w:style>
  <w:style w:type="paragraph" w:customStyle="1" w:styleId="54">
    <w:name w:val="列出段落5"/>
    <w:basedOn w:val="1"/>
    <w:qFormat/>
    <w:uiPriority w:val="99"/>
    <w:pPr>
      <w:ind w:firstLine="420" w:firstLineChars="200"/>
    </w:pPr>
    <w:rPr>
      <w:szCs w:val="21"/>
    </w:rPr>
  </w:style>
  <w:style w:type="paragraph" w:customStyle="1" w:styleId="55">
    <w:name w:val="列出段落1"/>
    <w:basedOn w:val="1"/>
    <w:qFormat/>
    <w:uiPriority w:val="0"/>
    <w:pPr>
      <w:widowControl/>
      <w:ind w:left="720"/>
    </w:pPr>
  </w:style>
  <w:style w:type="paragraph" w:customStyle="1" w:styleId="5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列出段落3"/>
    <w:basedOn w:val="1"/>
    <w:qFormat/>
    <w:uiPriority w:val="0"/>
    <w:pPr>
      <w:ind w:firstLine="420" w:firstLineChars="200"/>
    </w:pPr>
  </w:style>
  <w:style w:type="paragraph" w:customStyle="1" w:styleId="59">
    <w:name w:val="列表段落1"/>
    <w:basedOn w:val="1"/>
    <w:unhideWhenUsed/>
    <w:qFormat/>
    <w:uiPriority w:val="99"/>
    <w:pPr>
      <w:ind w:firstLine="420" w:firstLineChars="200"/>
    </w:pPr>
  </w:style>
  <w:style w:type="paragraph" w:customStyle="1" w:styleId="60">
    <w:name w:val="保留正文"/>
    <w:basedOn w:val="6"/>
    <w:qFormat/>
    <w:uiPriority w:val="0"/>
    <w:pPr>
      <w:keepNext/>
      <w:spacing w:after="160" w:line="240" w:lineRule="auto"/>
    </w:pPr>
    <w:rPr>
      <w:rFonts w:eastAsia="Times New Roman"/>
      <w:color w:val="000000"/>
      <w:sz w:val="21"/>
      <w:szCs w:val="24"/>
    </w:rPr>
  </w:style>
  <w:style w:type="paragraph" w:customStyle="1" w:styleId="61">
    <w:name w:val="p16"/>
    <w:basedOn w:val="1"/>
    <w:qFormat/>
    <w:uiPriority w:val="0"/>
    <w:pPr>
      <w:widowControl/>
    </w:pPr>
    <w:rPr>
      <w:kern w:val="0"/>
      <w:szCs w:val="21"/>
    </w:rPr>
  </w:style>
  <w:style w:type="character" w:customStyle="1" w:styleId="62">
    <w:name w:val="标题 1 Char"/>
    <w:link w:val="4"/>
    <w:qFormat/>
    <w:uiPriority w:val="0"/>
    <w:rPr>
      <w:rFonts w:ascii="宋体" w:eastAsia="宋体"/>
      <w:b/>
      <w:kern w:val="44"/>
      <w:sz w:val="30"/>
    </w:rPr>
  </w:style>
  <w:style w:type="character" w:customStyle="1" w:styleId="63">
    <w:name w:val="标题 2 Char"/>
    <w:link w:val="5"/>
    <w:semiHidden/>
    <w:qFormat/>
    <w:uiPriority w:val="9"/>
    <w:rPr>
      <w:rFonts w:ascii="Cambria" w:hAnsi="Cambria" w:eastAsia="宋体" w:cs="Times New Roman"/>
      <w:b/>
      <w:bCs/>
      <w:kern w:val="2"/>
      <w:sz w:val="32"/>
      <w:szCs w:val="32"/>
    </w:rPr>
  </w:style>
  <w:style w:type="character" w:customStyle="1" w:styleId="64">
    <w:name w:val="标题 4 Char"/>
    <w:link w:val="8"/>
    <w:semiHidden/>
    <w:qFormat/>
    <w:uiPriority w:val="9"/>
    <w:rPr>
      <w:rFonts w:ascii="Cambria" w:hAnsi="Cambria" w:eastAsia="宋体" w:cs="黑体"/>
      <w:b/>
      <w:bCs/>
      <w:kern w:val="2"/>
      <w:sz w:val="28"/>
      <w:szCs w:val="28"/>
    </w:rPr>
  </w:style>
  <w:style w:type="character" w:customStyle="1" w:styleId="65">
    <w:name w:val="正文缩进 Char"/>
    <w:link w:val="9"/>
    <w:qFormat/>
    <w:uiPriority w:val="0"/>
  </w:style>
  <w:style w:type="character" w:customStyle="1" w:styleId="66">
    <w:name w:val="文档结构图 Char"/>
    <w:link w:val="10"/>
    <w:qFormat/>
    <w:uiPriority w:val="0"/>
    <w:rPr>
      <w:rFonts w:ascii="宋体"/>
      <w:kern w:val="2"/>
      <w:sz w:val="18"/>
    </w:rPr>
  </w:style>
  <w:style w:type="character" w:customStyle="1" w:styleId="67">
    <w:name w:val="批注框文本 Char"/>
    <w:link w:val="18"/>
    <w:qFormat/>
    <w:uiPriority w:val="0"/>
    <w:rPr>
      <w:kern w:val="2"/>
      <w:sz w:val="18"/>
    </w:rPr>
  </w:style>
  <w:style w:type="character" w:customStyle="1" w:styleId="68">
    <w:name w:val="页脚 Char"/>
    <w:link w:val="19"/>
    <w:qFormat/>
    <w:uiPriority w:val="99"/>
    <w:rPr>
      <w:rFonts w:eastAsia="宋体"/>
      <w:kern w:val="2"/>
      <w:sz w:val="18"/>
      <w:lang w:val="en-US" w:eastAsia="zh-CN" w:bidi="ar-SA"/>
    </w:rPr>
  </w:style>
  <w:style w:type="character" w:customStyle="1" w:styleId="69">
    <w:name w:val="页眉 Char"/>
    <w:link w:val="21"/>
    <w:qFormat/>
    <w:uiPriority w:val="0"/>
    <w:rPr>
      <w:rFonts w:eastAsia="宋体"/>
      <w:kern w:val="2"/>
      <w:sz w:val="18"/>
    </w:rPr>
  </w:style>
  <w:style w:type="character" w:customStyle="1" w:styleId="70">
    <w:name w:val="标题 Char"/>
    <w:link w:val="28"/>
    <w:qFormat/>
    <w:uiPriority w:val="10"/>
    <w:rPr>
      <w:rFonts w:ascii="Cambria" w:hAnsi="Cambria" w:eastAsia="宋体" w:cs="Times New Roman"/>
      <w:b/>
      <w:bCs/>
      <w:kern w:val="2"/>
      <w:sz w:val="32"/>
      <w:szCs w:val="32"/>
    </w:rPr>
  </w:style>
  <w:style w:type="character" w:customStyle="1" w:styleId="71">
    <w:name w:val="标题 2 Char2"/>
    <w:qFormat/>
    <w:uiPriority w:val="99"/>
    <w:rPr>
      <w:rFonts w:ascii="宋体" w:hAnsi="宋体" w:eastAsia="宋体" w:cs="宋体"/>
      <w:kern w:val="2"/>
      <w:sz w:val="24"/>
      <w:szCs w:val="24"/>
      <w:lang w:val="en-US" w:eastAsia="zh-CN"/>
    </w:rPr>
  </w:style>
  <w:style w:type="character" w:customStyle="1" w:styleId="72">
    <w:name w:val="15"/>
    <w:qFormat/>
    <w:uiPriority w:val="0"/>
    <w:rPr>
      <w:rFonts w:hint="default" w:ascii="Times New Roman" w:hAnsi="Times New Roman" w:cs="Times New Roman"/>
      <w:color w:val="464445"/>
      <w:u w:val="none"/>
    </w:rPr>
  </w:style>
  <w:style w:type="character" w:customStyle="1" w:styleId="73">
    <w:name w:val="页脚 Char Char"/>
    <w:qFormat/>
    <w:uiPriority w:val="0"/>
    <w:rPr>
      <w:rFonts w:eastAsia="Calibri"/>
      <w:sz w:val="21"/>
    </w:rPr>
  </w:style>
  <w:style w:type="character" w:customStyle="1" w:styleId="74">
    <w:name w:val="Default Char Char"/>
    <w:link w:val="7"/>
    <w:qFormat/>
    <w:locked/>
    <w:uiPriority w:val="0"/>
    <w:rPr>
      <w:rFonts w:ascii="宋体"/>
      <w:color w:val="000000"/>
      <w:sz w:val="24"/>
      <w:szCs w:val="24"/>
      <w:lang w:bidi="ar-SA"/>
    </w:rPr>
  </w:style>
  <w:style w:type="character" w:customStyle="1" w:styleId="75">
    <w:name w:val="wxpay"/>
    <w:basedOn w:val="32"/>
    <w:qFormat/>
    <w:uiPriority w:val="0"/>
  </w:style>
  <w:style w:type="character" w:customStyle="1" w:styleId="76">
    <w:name w:val="正文文本缩进 3 Char"/>
    <w:link w:val="24"/>
    <w:qFormat/>
    <w:uiPriority w:val="0"/>
    <w:rPr>
      <w:rFonts w:eastAsia="Times New Roman"/>
      <w:color w:val="000000"/>
      <w:sz w:val="16"/>
      <w:szCs w:val="16"/>
    </w:rPr>
  </w:style>
  <w:style w:type="character" w:customStyle="1" w:styleId="77">
    <w:name w:val="dec"/>
    <w:basedOn w:val="32"/>
    <w:qFormat/>
    <w:uiPriority w:val="0"/>
  </w:style>
  <w:style w:type="character" w:customStyle="1" w:styleId="78">
    <w:name w:val="doc"/>
    <w:basedOn w:val="32"/>
    <w:qFormat/>
    <w:uiPriority w:val="0"/>
  </w:style>
  <w:style w:type="character" w:customStyle="1" w:styleId="79">
    <w:name w:val="zfbpay"/>
    <w:basedOn w:val="32"/>
    <w:qFormat/>
    <w:uiPriority w:val="0"/>
  </w:style>
  <w:style w:type="character" w:customStyle="1" w:styleId="80">
    <w:name w:val="first-child"/>
    <w:basedOn w:val="32"/>
    <w:qFormat/>
    <w:uiPriority w:val="0"/>
  </w:style>
  <w:style w:type="character" w:customStyle="1" w:styleId="81">
    <w:name w:val="red2"/>
    <w:qFormat/>
    <w:uiPriority w:val="0"/>
    <w:rPr>
      <w:color w:val="FF0000"/>
    </w:rPr>
  </w:style>
  <w:style w:type="character" w:customStyle="1" w:styleId="82">
    <w:name w:val="update"/>
    <w:basedOn w:val="32"/>
    <w:qFormat/>
    <w:uiPriority w:val="0"/>
  </w:style>
  <w:style w:type="character" w:customStyle="1" w:styleId="83">
    <w:name w:val="password"/>
    <w:basedOn w:val="32"/>
    <w:qFormat/>
    <w:uiPriority w:val="0"/>
  </w:style>
  <w:style w:type="character" w:customStyle="1" w:styleId="84">
    <w:name w:val="weixin-icon"/>
    <w:basedOn w:val="32"/>
    <w:qFormat/>
    <w:uiPriority w:val="0"/>
  </w:style>
  <w:style w:type="character" w:customStyle="1" w:styleId="85">
    <w:name w:val="pages"/>
    <w:qFormat/>
    <w:uiPriority w:val="0"/>
    <w:rPr>
      <w:color w:val="999999"/>
    </w:rPr>
  </w:style>
  <w:style w:type="character" w:customStyle="1" w:styleId="86">
    <w:name w:val="hover51"/>
    <w:basedOn w:val="32"/>
    <w:qFormat/>
    <w:uiPriority w:val="0"/>
  </w:style>
  <w:style w:type="character" w:customStyle="1" w:styleId="87">
    <w:name w:val="upload"/>
    <w:basedOn w:val="32"/>
    <w:qFormat/>
    <w:uiPriority w:val="0"/>
  </w:style>
  <w:style w:type="character" w:customStyle="1" w:styleId="88">
    <w:name w:val="input"/>
    <w:basedOn w:val="32"/>
    <w:qFormat/>
    <w:uiPriority w:val="0"/>
  </w:style>
  <w:style w:type="character" w:customStyle="1" w:styleId="89">
    <w:name w:val="authcode"/>
    <w:basedOn w:val="32"/>
    <w:qFormat/>
    <w:uiPriority w:val="0"/>
  </w:style>
  <w:style w:type="character" w:customStyle="1" w:styleId="90">
    <w:name w:val="onpay"/>
    <w:qFormat/>
    <w:uiPriority w:val="0"/>
    <w:rPr>
      <w:bdr w:val="single" w:color="F69C00" w:sz="12" w:space="0"/>
    </w:rPr>
  </w:style>
  <w:style w:type="character" w:customStyle="1" w:styleId="91">
    <w:name w:val="wxstandby"/>
    <w:basedOn w:val="32"/>
    <w:qFormat/>
    <w:uiPriority w:val="0"/>
  </w:style>
  <w:style w:type="character" w:customStyle="1" w:styleId="92">
    <w:name w:val="qqpay"/>
    <w:basedOn w:val="32"/>
    <w:qFormat/>
    <w:uiPriority w:val="0"/>
  </w:style>
  <w:style w:type="character" w:customStyle="1" w:styleId="93">
    <w:name w:val="weixin-standby-icon"/>
    <w:basedOn w:val="32"/>
    <w:qFormat/>
    <w:uiPriority w:val="0"/>
  </w:style>
  <w:style w:type="character" w:customStyle="1" w:styleId="94">
    <w:name w:val="navselect"/>
    <w:qFormat/>
    <w:uiPriority w:val="0"/>
    <w:rPr>
      <w:color w:val="333333"/>
      <w:bdr w:val="single" w:color="FF7700" w:sz="4" w:space="0"/>
      <w:shd w:val="clear" w:color="auto" w:fill="FFFFFF"/>
    </w:rPr>
  </w:style>
  <w:style w:type="character" w:customStyle="1" w:styleId="95">
    <w:name w:val="layui-layer-tabnow2"/>
    <w:qFormat/>
    <w:uiPriority w:val="0"/>
    <w:rPr>
      <w:bdr w:val="single" w:color="CCCCCC" w:sz="4" w:space="0"/>
      <w:shd w:val="clear" w:color="auto" w:fill="FFFFFF"/>
    </w:rPr>
  </w:style>
  <w:style w:type="character" w:customStyle="1" w:styleId="96">
    <w:name w:val="fr"/>
    <w:basedOn w:val="32"/>
    <w:qFormat/>
    <w:uiPriority w:val="0"/>
  </w:style>
  <w:style w:type="character" w:customStyle="1" w:styleId="97">
    <w:name w:val="font21"/>
    <w:qFormat/>
    <w:uiPriority w:val="0"/>
    <w:rPr>
      <w:rFonts w:hint="eastAsia" w:ascii="宋体" w:hAnsi="宋体" w:eastAsia="宋体" w:cs="宋体"/>
      <w:color w:val="000000"/>
      <w:sz w:val="20"/>
      <w:szCs w:val="20"/>
      <w:u w:val="none"/>
    </w:rPr>
  </w:style>
  <w:style w:type="character" w:customStyle="1" w:styleId="98">
    <w:name w:val="font01"/>
    <w:qFormat/>
    <w:uiPriority w:val="0"/>
    <w:rPr>
      <w:rFonts w:hint="default" w:ascii="Times New Roman" w:hAnsi="Times New Roman" w:cs="Times New Roman"/>
      <w:color w:val="000000"/>
      <w:sz w:val="20"/>
      <w:szCs w:val="20"/>
      <w:u w:val="none"/>
    </w:rPr>
  </w:style>
  <w:style w:type="character" w:customStyle="1" w:styleId="99">
    <w:name w:val="font61"/>
    <w:qFormat/>
    <w:uiPriority w:val="0"/>
    <w:rPr>
      <w:rFonts w:hint="default" w:ascii="Times New Roman" w:hAnsi="Times New Roman" w:cs="Times New Roman"/>
      <w:color w:val="000000"/>
      <w:sz w:val="24"/>
      <w:szCs w:val="24"/>
      <w:u w:val="none"/>
    </w:rPr>
  </w:style>
  <w:style w:type="character" w:customStyle="1" w:styleId="100">
    <w:name w:val="font41"/>
    <w:qFormat/>
    <w:uiPriority w:val="0"/>
    <w:rPr>
      <w:rFonts w:hint="default" w:ascii="仿宋_GB2312" w:eastAsia="仿宋_GB2312" w:cs="仿宋_GB2312"/>
      <w:color w:val="000000"/>
      <w:sz w:val="24"/>
      <w:szCs w:val="24"/>
      <w:u w:val="none"/>
    </w:rPr>
  </w:style>
  <w:style w:type="character" w:customStyle="1" w:styleId="101">
    <w:name w:val="font81"/>
    <w:qFormat/>
    <w:uiPriority w:val="0"/>
    <w:rPr>
      <w:rFonts w:hint="eastAsia" w:ascii="宋体" w:hAnsi="宋体" w:eastAsia="宋体" w:cs="宋体"/>
      <w:color w:val="000000"/>
      <w:sz w:val="20"/>
      <w:szCs w:val="20"/>
      <w:u w:val="none"/>
    </w:rPr>
  </w:style>
  <w:style w:type="character" w:customStyle="1" w:styleId="102">
    <w:name w:val="font31"/>
    <w:qFormat/>
    <w:uiPriority w:val="0"/>
    <w:rPr>
      <w:rFonts w:hint="default" w:ascii="Times New Roman" w:hAnsi="Times New Roman" w:cs="Times New Roman"/>
      <w:color w:val="000000"/>
      <w:sz w:val="20"/>
      <w:szCs w:val="20"/>
      <w:u w:val="none"/>
    </w:rPr>
  </w:style>
  <w:style w:type="paragraph" w:customStyle="1" w:styleId="103">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5"/>
    <customShpInfo spid="_x0000_s1026"/>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新疆西拓矿业有限公司</Company>
  <Pages>44</Pages>
  <Words>17389</Words>
  <Characters>18486</Characters>
  <Lines>152</Lines>
  <Paragraphs>42</Paragraphs>
  <TotalTime>3</TotalTime>
  <ScaleCrop>false</ScaleCrop>
  <LinksUpToDate>false</LinksUpToDate>
  <CharactersWithSpaces>19881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2020-03-24T06:37:00Z</dcterms:created>
  <dc:creator>wwc</dc:creator>
  <cp:lastModifiedBy>W</cp:lastModifiedBy>
  <cp:lastPrinted>2020-03-13T01:30:00Z</cp:lastPrinted>
  <dcterms:modified xsi:type="dcterms:W3CDTF">2022-07-07T01:52:19Z</dcterms:modified>
  <dc:subject>邀请招标文件</dc:subject>
  <dc:title>黄土坡矿区邀请Ⅰ矿段铜锌矿地下采矿技改工程造价咨询及结算审核</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0DCE09B387B741F689EA2B25706B8D2F</vt:lpwstr>
  </property>
</Properties>
</file>